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9931</w:t>
      </w:r>
    </w:p>
    <w:p>
      <w:r>
        <w:t>Visit Number: 56a8f6e5ecff27df4e6cefcb65f04c02169873fe4cad121abee978399790c6f4</w:t>
      </w:r>
    </w:p>
    <w:p>
      <w:r>
        <w:t>Masked_PatientID: 9930</w:t>
      </w:r>
    </w:p>
    <w:p>
      <w:r>
        <w:t>Order ID: ba6e33997ee10e16fd56c2a27d173c107f358c81f8e8df7ea02f6b63721a519e</w:t>
      </w:r>
    </w:p>
    <w:p>
      <w:r>
        <w:t>Order Name: Chest X-ray</w:t>
      </w:r>
    </w:p>
    <w:p>
      <w:r>
        <w:t>Result Item Code: CHE-NOV</w:t>
      </w:r>
    </w:p>
    <w:p>
      <w:r>
        <w:t>Performed Date Time: 06/6/2018 11:46</w:t>
      </w:r>
    </w:p>
    <w:p>
      <w:r>
        <w:t>Line Num: 1</w:t>
      </w:r>
    </w:p>
    <w:p>
      <w:r>
        <w:t>Text:       HISTORY fall REPORT  Comparison dated 16/01/2015. Cardiac silhouette appears within normal limits for size.  However, the thoracic  aorta is unfolded, and the pulmonary artery shadow is prominent (which may signify  underlying pulmonary arterial hypertension, kindly correlate clinically). No focal consolidation, sizable pleural effusion, or pneumothorax is demonstrated. The bones are osteopenic.  Several chronic bilateral rib fracture deformities are  seen.  No acutedisplaced rib fracture is demonstrated (however, if this remains  a clinical concern, dedicated oblique radiographs are recommended).  Scoliotic deformity  of the spine is noted with associated degenerative changes.   May need further action Reported by: &lt;DOCTOR&gt;</w:t>
      </w:r>
    </w:p>
    <w:p>
      <w:r>
        <w:t>Accession Number: 6b406364a4f104be14fc486eec1a4b1892cefbcdcd969aaad46ae78babee46f7</w:t>
      </w:r>
    </w:p>
    <w:p>
      <w:r>
        <w:t>Updated Date Time: 06/6/2018 18:32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