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9961</w:t>
      </w:r>
    </w:p>
    <w:p>
      <w:r>
        <w:t>Visit Number: 46459248fccd2ecc3e19eaf37f0a20fb003c268edb718b91d491e92e31d133d3</w:t>
      </w:r>
    </w:p>
    <w:p>
      <w:r>
        <w:t>Masked_PatientID: 9961</w:t>
      </w:r>
    </w:p>
    <w:p>
      <w:r>
        <w:t>Order ID: 2e118ea74b10fc07483adb6b48596dad55379a361ea210a08e186dc4e2066c3c</w:t>
      </w:r>
    </w:p>
    <w:p>
      <w:r>
        <w:t>Order Name: Chest X-ray</w:t>
      </w:r>
    </w:p>
    <w:p>
      <w:r>
        <w:t>Result Item Code: CHE-NOV</w:t>
      </w:r>
    </w:p>
    <w:p>
      <w:r>
        <w:t>Performed Date Time: 13/9/2015 0:47</w:t>
      </w:r>
    </w:p>
    <w:p>
      <w:r>
        <w:t>Line Num: 1</w:t>
      </w:r>
    </w:p>
    <w:p>
      <w:r>
        <w:t>Text:       HISTORY post ETT and NGT REPORT CHEST (SUPINE MOBILE) TOTAL OF ONE IMAGE There are cardiac monitoring leads in place.   The tip of the endotracheal tube is about to 4.0 cm above the carina and repositioning  more superiorlyis suggested.   Unfortunately, the tip of the nasogastric tube is not included in this image. The heart shadow and mediastinum cannot be assessed for size and configuration.   The lungs show bilateral air space opacification likely due to pneumonia. The deformity of the posterior part of the right eighth rib is related to an old  fracture.   Further action or early intervention required Finalised by: &lt;DOCTOR&gt;</w:t>
      </w:r>
    </w:p>
    <w:p>
      <w:r>
        <w:t>Accession Number: 1b648eae0a5d08b46a3c547870a9fcc3f83ae938d62ba99fdaa1ea413f21f5c3</w:t>
      </w:r>
    </w:p>
    <w:p>
      <w:r>
        <w:t>Updated Date Time: 15/9/2015 9:25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