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2438</w:t>
      </w:r>
    </w:p>
    <w:p>
      <w:r>
        <w:t>Visit Number: db9d8386a907acd729a9a6208749415f87ccab07058db06e80b0fa6124b88fd0</w:t>
      </w:r>
    </w:p>
    <w:p>
      <w:r>
        <w:t>Masked_PatientID: 2429</w:t>
      </w:r>
    </w:p>
    <w:p>
      <w:r>
        <w:t>Order ID: df0c2ee516e84c088bbcd661b1e134bda494ea8c16b8de03079d7dad71a3bfb1</w:t>
      </w:r>
    </w:p>
    <w:p>
      <w:r>
        <w:t>Order Name: Chest X-ray</w:t>
      </w:r>
    </w:p>
    <w:p>
      <w:r>
        <w:t>Result Item Code: CHE-NOV</w:t>
      </w:r>
    </w:p>
    <w:p>
      <w:r>
        <w:t>Performed Date Time: 02/7/2019 8:59</w:t>
      </w:r>
    </w:p>
    <w:p>
      <w:r>
        <w:t>Line Num: 1</w:t>
      </w:r>
    </w:p>
    <w:p>
      <w:r>
        <w:t>Text: HISTORY  sicu tachypnoeic REPORT Comparison radiograph 27/06/2019. Tracheostomy tube and nasogastric tube noted in situ. Stable cardiomegaly with unfolded aortic arch demonstrating atherosclerotic mural  calcification. Increase noted in the patchy air space opacities present in the right upper and bilateral  lower zones. Extensive areas of sclerosis noted in multiple bones suggest osteoblastic  metastases. Report Indicator: May need further action Finalised by: &lt;DOCTOR&gt;</w:t>
      </w:r>
    </w:p>
    <w:p>
      <w:r>
        <w:t>Accession Number: 4747ca0b55bcd602fd03740906de65ad2733a93861adba0a6787ac3416dae910</w:t>
      </w:r>
    </w:p>
    <w:p>
      <w:r>
        <w:t>Updated Date Time: 04/7/2019 8:21</w:t>
      </w:r>
    </w:p>
    <w:p>
      <w:pPr>
        <w:pStyle w:val="Heading2"/>
      </w:pPr>
      <w:r>
        <w:t>Layman Explanation</w:t>
      </w:r>
    </w:p>
    <w:p>
      <w:r>
        <w:t>This radiology report discusses HISTORY  sicu tachypnoeic REPORT Comparison radiograph 27/06/2019. Tracheostomy tube and nasogastric tube noted in situ. Stable cardiomegaly with unfolded aortic arch demonstrating atherosclerotic mural  calcification. Increase noted in the patchy air space opacities present in the right upper and bilateral  lower zones. Extensive areas of sclerosis noted in multiple bones suggest osteoblastic  metastases.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