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2777</w:t>
      </w:r>
    </w:p>
    <w:p>
      <w:r>
        <w:t>Visit Number: 4623555ff2f0efb0a8af9c62cb9d77ceba083b0de64c486979a415c9686c15ec</w:t>
      </w:r>
    </w:p>
    <w:p>
      <w:r>
        <w:t>Masked_PatientID: 2776</w:t>
      </w:r>
    </w:p>
    <w:p>
      <w:r>
        <w:t>Order ID: 15ad85a27759f7b2d5316571c80dcaf5721f0248991dac87d3e1193f51bcd812</w:t>
      </w:r>
    </w:p>
    <w:p>
      <w:r>
        <w:t>Order Name: CT Chest, Abdomen and Pelvis</w:t>
      </w:r>
    </w:p>
    <w:p>
      <w:r>
        <w:t>Result Item Code: CTCHEABDP</w:t>
      </w:r>
    </w:p>
    <w:p>
      <w:r>
        <w:t>Performed Date Time: 12/4/2017 19:13</w:t>
      </w:r>
    </w:p>
    <w:p>
      <w:r>
        <w:t>Line Num: 1</w:t>
      </w:r>
    </w:p>
    <w:p>
      <w:r>
        <w:t>Text: ADDENDUM     The first point of the conclusion should read as: An irregular mass-like opacity  in the left lower lobe is indeterminate in nature between malignancy (primary seems  more likely than secondary) and infection. The former should be excluded.       Further action or early intervention required Reported by: &lt;DOCTOR&gt;</w:t>
      </w:r>
    </w:p>
    <w:p>
      <w:r>
        <w:t>Accession Number: 3135c158f28fc4d392a2736ee116b380677d6c18c450bd7251a3b032c878cfe7</w:t>
      </w:r>
    </w:p>
    <w:p>
      <w:r>
        <w:t>Updated Date Time: 17/4/2017 9:43</w:t>
      </w:r>
    </w:p>
    <w:p>
      <w:pPr>
        <w:pStyle w:val="Heading2"/>
      </w:pPr>
      <w:r>
        <w:t>Layman Explanation</w:t>
      </w:r>
    </w:p>
    <w:p>
      <w:r>
        <w:t>This radiology report discusses ADDENDUM     The first point of the conclusion should read as: An irregular mass-like opacity  in the left lower lobe is indeterminate in nature between malignancy (primary seems  more likely than secondary) and infection. The former should be excluded.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