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3278</w:t>
      </w:r>
    </w:p>
    <w:p>
      <w:r>
        <w:t>Visit Number: 9d672c818ca0e6adae431f755b1d955947a23864ffa87964e492e12aacd29593</w:t>
      </w:r>
    </w:p>
    <w:p>
      <w:r>
        <w:t>Masked_PatientID: 3272</w:t>
      </w:r>
    </w:p>
    <w:p>
      <w:r>
        <w:t>Order ID: 352372be88486ce5e76188847907156900186116d2ed0e256d29145c40b1c78d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05/8/2020 13:05</w:t>
      </w:r>
    </w:p>
    <w:p>
      <w:r>
        <w:t>Line Num: 1</w:t>
      </w:r>
    </w:p>
    <w:p>
      <w:r>
        <w:t>Text: HISTORY  ESRF on HD  hyperK  bradycardia REPORT Comparison radiograph 16/07/2020. Cardiac size cannot be accurately assessed in this projection. Unfolded aortic arch  with a sclerotic mural calcification. Patchy air space opacities are noted in the left lower zone with effacement of the  left costophrenic angle suggestive of a small pleural effusion. Report Indicator: May need further action Finalised by: &lt;DOCTOR&gt;</w:t>
      </w:r>
    </w:p>
    <w:p>
      <w:r>
        <w:t>Accession Number: 411f01e05e5a2d8b0905d692e9d2242c971c2a9b60bd737b9bc6349477572e01</w:t>
      </w:r>
    </w:p>
    <w:p>
      <w:r>
        <w:t>Updated Date Time: 05/8/2020 13:41</w:t>
      </w:r>
    </w:p>
    <w:p>
      <w:pPr>
        <w:pStyle w:val="Heading2"/>
      </w:pPr>
      <w:r>
        <w:t>Layman Explanation</w:t>
      </w:r>
    </w:p>
    <w:p>
      <w:r>
        <w:t>This radiology report discusses HISTORY  ESRF on HD  hyperK  bradycardia REPORT Comparison radiograph 16/07/2020. Cardiac size cannot be accurately assessed in this projection. Unfolded aortic arch  with a sclerotic mural calcification. Patchy air space opacities are noted in the left lower zone with effacement of the  left costophrenic angle suggestive of a small pleural effusion.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