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3570</w:t>
      </w:r>
    </w:p>
    <w:p>
      <w:r>
        <w:t>Visit Number: 7e07d2fb15da34da98b62754eb326d33dbbe0a2ca95a0974979b1b08df02e6b4</w:t>
      </w:r>
    </w:p>
    <w:p>
      <w:r>
        <w:t>Masked_PatientID: 3555</w:t>
      </w:r>
    </w:p>
    <w:p>
      <w:r>
        <w:t>Order ID: 05b2fb0895c1440135c18f204f6917356e805797c60a60af529a20ca1d0065fa</w:t>
      </w:r>
    </w:p>
    <w:p>
      <w:r>
        <w:t>Order Name: Chest X-ray</w:t>
      </w:r>
    </w:p>
    <w:p>
      <w:r>
        <w:t>Result Item Code: CHE-NOV</w:t>
      </w:r>
    </w:p>
    <w:p>
      <w:r>
        <w:t>Performed Date Time: 30/7/2019 13:45</w:t>
      </w:r>
    </w:p>
    <w:p>
      <w:r>
        <w:t>Line Num: 1</w:t>
      </w:r>
    </w:p>
    <w:p>
      <w:r>
        <w:t>Text:       HISTORY Sepsis REPORT CHEST SUPINE The patient is grossly rotated. Numerous artifacts are projected over the right hemithorax.   The tip of the nasogastric tube is in the body of the stomach. The cardiac shadow is normal insize.  There is no development of any consolidation or collapse of the lungs compared with  the image dated 22/7/2019.  Both the costophrenic angles are sharp.   Known / Minor Finalised by: &lt;DOCTOR&gt;</w:t>
      </w:r>
    </w:p>
    <w:p>
      <w:r>
        <w:t>Accession Number: 350e35cd56cf741d307f8dd7f89217af1aa52514863cab3268df32a76d66e740</w:t>
      </w:r>
    </w:p>
    <w:p>
      <w:r>
        <w:t>Updated Date Time: 31/7/2019 9:16</w:t>
      </w:r>
    </w:p>
    <w:p>
      <w:pPr>
        <w:pStyle w:val="Heading2"/>
      </w:pPr>
      <w:r>
        <w:t>Layman Explanation</w:t>
      </w:r>
    </w:p>
    <w:p>
      <w:r>
        <w:t>This radiology report discusses       HISTORY Sepsis REPORT CHEST SUPINE The patient is grossly rotated. Numerous artifacts are projected over the right hemithorax.   The tip of the nasogastric tube is in the body of the stomach. The cardiac shadow is normal insize.  There is no development of any consolidation or collapse of the lungs compared with  the image dated 22/7/2019.  Both the costophrenic angles are sharp.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