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3918</w:t>
      </w:r>
    </w:p>
    <w:p>
      <w:r>
        <w:t>Visit Number: 0a50506a4b39c84d9753abd69695db915a4317ed2de306875d36ed59e9a9f8ee</w:t>
      </w:r>
    </w:p>
    <w:p>
      <w:r>
        <w:t>Masked_PatientID: 3916</w:t>
      </w:r>
    </w:p>
    <w:p>
      <w:r>
        <w:t>Order ID: e400ab19a60fefcde26912c0fd57122d2a4d13e6d13fd94425e1a68b651b3501</w:t>
      </w:r>
    </w:p>
    <w:p>
      <w:r>
        <w:t>Order Name: Chest X-ray</w:t>
      </w:r>
    </w:p>
    <w:p>
      <w:r>
        <w:t>Result Item Code: CHE-NOV</w:t>
      </w:r>
    </w:p>
    <w:p>
      <w:r>
        <w:t>Performed Date Time: 08/10/2016 0:16</w:t>
      </w:r>
    </w:p>
    <w:p>
      <w:r>
        <w:t>Line Num: 1</w:t>
      </w:r>
    </w:p>
    <w:p>
      <w:r>
        <w:t>Text:       HISTORY sepsis REPORT  Comparison is made to the prior study dated 29 September 2016.  Projection and suboptimal  inspiration limits evaluation of this study.  Within these limits, no gross consolidation  is seen.  Blunting of theleft costophrenic angle suggests small pleural effusion.   Background osteopenia, old bilateral rib and vertebral body fractures are noted.   Known / Minor  Finalised by: &lt;DOCTOR&gt;</w:t>
      </w:r>
    </w:p>
    <w:p>
      <w:r>
        <w:t>Accession Number: 464c14c0a009e9f3b29f141015e784721b101acfad4918176ce3d6f3d803bc62</w:t>
      </w:r>
    </w:p>
    <w:p>
      <w:r>
        <w:t>Updated Date Time: 08/10/2016 9:25</w:t>
      </w:r>
    </w:p>
    <w:p>
      <w:pPr>
        <w:pStyle w:val="Heading2"/>
      </w:pPr>
      <w:r>
        <w:t>Layman Explanation</w:t>
      </w:r>
    </w:p>
    <w:p>
      <w:r>
        <w:t>This radiology report discusses       HISTORY sepsis REPORT  Comparison is made to the prior study dated 29 September 2016.  Projection and suboptimal  inspiration limits evaluation of this study.  Within these limits, no gross consolidation  is seen.  Blunting of theleft costophrenic angle suggests small pleural effusion.   Background osteopenia, old bilateral rib and vertebral body fractures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