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3926</w:t>
      </w:r>
    </w:p>
    <w:p>
      <w:r>
        <w:t>Visit Number: 5f532660ad6e9a750f8a312a22b47855094f6c1717e39c9b3afebe765038bec3</w:t>
      </w:r>
    </w:p>
    <w:p>
      <w:r>
        <w:t>Masked_PatientID: 3916</w:t>
      </w:r>
    </w:p>
    <w:p>
      <w:r>
        <w:t>Order ID: d3baea71f6f6a744371aeda82cc35c946a5146374d0ac51d72606bc5671cdd28</w:t>
      </w:r>
    </w:p>
    <w:p>
      <w:r>
        <w:t>Order Name: Chest X-ray</w:t>
      </w:r>
    </w:p>
    <w:p>
      <w:r>
        <w:t>Result Item Code: CHE-NOV</w:t>
      </w:r>
    </w:p>
    <w:p>
      <w:r>
        <w:t>Performed Date Time: 17/5/2019 14:39</w:t>
      </w:r>
    </w:p>
    <w:p>
      <w:r>
        <w:t>Line Num: 1</w:t>
      </w:r>
    </w:p>
    <w:p>
      <w:r>
        <w:t>Text: HISTORY  recent HAP, AMS REPORT Chest X-ray: Supine Radiograph of 9 May 2019 was reviewed. The patient is rotated. The right lung apex is not included in this radiograph. Unable to accurately assess cardiac size in this projection. Upper lobe diversion, bilateral perihilar and lower zone airspace opacities as well  as small bilateral pleural effusions are suggestive of fluid overload. Multiple compression fractures in the thoracic and lumbar spine are noted. Report Indicator: Mayneed further action Finalised by: &lt;DOCTOR&gt;</w:t>
      </w:r>
    </w:p>
    <w:p>
      <w:r>
        <w:t>Accession Number: dbdb37921a0a41fc3ebaa36ba55a056bbfa581268121a69d7a19699e6db15384</w:t>
      </w:r>
    </w:p>
    <w:p>
      <w:r>
        <w:t>Updated Date Time: 17/5/2019 19:24</w:t>
      </w:r>
    </w:p>
    <w:p>
      <w:pPr>
        <w:pStyle w:val="Heading2"/>
      </w:pPr>
      <w:r>
        <w:t>Layman Explanation</w:t>
      </w:r>
    </w:p>
    <w:p>
      <w:r>
        <w:t>This radiology report discusses HISTORY  recent HAP, AMS REPORT Chest X-ray: Supine Radiograph of 9 May 2019 was reviewed. The patient is rotated. The right lung apex is not included in this radiograph. Unable to accurately assess cardiac size in this projection. Upper lobe diversion, bilateral perihilar and lower zone airspace opacities as well  as small bilateral pleural effusions are suggestive of fluid overload. Multiple compression fractures in the thoracic and lumbar spine are noted. Report Indicator: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