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4496</w:t>
      </w:r>
    </w:p>
    <w:p>
      <w:r>
        <w:t>Visit Number: 1286456f7db4727c4047dcf9c54b61e2a1dfbb0ea0d9459c45d2fede038e7a4c</w:t>
      </w:r>
    </w:p>
    <w:p>
      <w:r>
        <w:t>Masked_PatientID: 4485</w:t>
      </w:r>
    </w:p>
    <w:p>
      <w:r>
        <w:t>Order ID: d6b1e13185d65821df21437ffd9a17b0f10f631efac69a460134f5316255cea6</w:t>
      </w:r>
    </w:p>
    <w:p>
      <w:r>
        <w:t>Order Name: Chest X-ray</w:t>
      </w:r>
    </w:p>
    <w:p>
      <w:r>
        <w:t>Result Item Code: CHE-NOV</w:t>
      </w:r>
    </w:p>
    <w:p>
      <w:r>
        <w:t>Performed Date Time: 25/6/2018 12:49</w:t>
      </w:r>
    </w:p>
    <w:p>
      <w:r>
        <w:t>Line Num: 1</w:t>
      </w:r>
    </w:p>
    <w:p>
      <w:r>
        <w:t>Text:       HISTORY fever tro bacteremia REPORT CHEST Even though this is an AP film, the cardiac shadow appears enlarged. No large confluent  areas of air space shadowing seen. The tip of the naso gastric tube is projected  over the proximal stomach.   Known / Minor  Finalised by: &lt;DOCTOR&gt;</w:t>
      </w:r>
    </w:p>
    <w:p>
      <w:r>
        <w:t>Accession Number: 6cfc60de3ab2f09ea10d042081eecc960ef320f98101268a4e051ff852d59348</w:t>
      </w:r>
    </w:p>
    <w:p>
      <w:r>
        <w:t>Updated Date Time: 25/6/2018 15:30</w:t>
      </w:r>
    </w:p>
    <w:p>
      <w:pPr>
        <w:pStyle w:val="Heading2"/>
      </w:pPr>
      <w:r>
        <w:t>Layman Explanation</w:t>
      </w:r>
    </w:p>
    <w:p>
      <w:r>
        <w:t>This radiology report discusses       HISTORY fever tro bacteremia REPORT CHEST Even though this is an AP film, the cardiac shadow appears enlarged. No large confluent  areas of air space shadowing seen. The tip of the naso gastric tube is projected  over the proximal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