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4785</w:t>
      </w:r>
    </w:p>
    <w:p>
      <w:r>
        <w:t>Visit Number: b4d817acfa891b3a411caa893916314e3b43539f276fe6c6fb19f39b4b4e28f7</w:t>
      </w:r>
    </w:p>
    <w:p>
      <w:r>
        <w:t>Masked_PatientID: 4778</w:t>
      </w:r>
    </w:p>
    <w:p>
      <w:r>
        <w:t>Order ID: 5db63c2ea849e92873ed838b04bb021acc6df59b972d6181063c95ad3748ff6f</w:t>
      </w:r>
    </w:p>
    <w:p>
      <w:r>
        <w:t>Order Name: Chest X-ray</w:t>
      </w:r>
    </w:p>
    <w:p>
      <w:r>
        <w:t>Result Item Code: CHE-NOV</w:t>
      </w:r>
    </w:p>
    <w:p>
      <w:r>
        <w:t>Performed Date Time: 12/4/2019 12:47</w:t>
      </w:r>
    </w:p>
    <w:p>
      <w:r>
        <w:t>Line Num: 1</w:t>
      </w:r>
    </w:p>
    <w:p>
      <w:r>
        <w:t>Text: HISTORY  chronic cough REPORT Previous study of 11 February 2019 reviewed. Cardiac size is mildly enlarged. Tip of the central venous catheters projected over  the SVC. Interval improvement of airspace opacification in the right upper to mid zone. Atelectasis  noted in the left lower zone. Report Indicator: Known \ Minor Finalised by: &lt;DOCTOR&gt;</w:t>
      </w:r>
    </w:p>
    <w:p>
      <w:r>
        <w:t>Accession Number: cb1dfd4ec201eb5afee3ebd45a53dbf65ef15d76cd9dfd95d75e99ed978106bf</w:t>
      </w:r>
    </w:p>
    <w:p>
      <w:r>
        <w:t>Updated Date Time: 12/4/2019 17:56</w:t>
      </w:r>
    </w:p>
    <w:p>
      <w:pPr>
        <w:pStyle w:val="Heading2"/>
      </w:pPr>
      <w:r>
        <w:t>Layman Explanation</w:t>
      </w:r>
    </w:p>
    <w:p>
      <w:r>
        <w:t>This radiology report discusses HISTORY  chronic cough REPORT Previous study of 11 February 2019 reviewed. Cardiac size is mildly enlarged. Tip of the central venous catheters projected over  the SVC. Interval improvement of airspace opacification in the right upper to mid zone. Atelectasis  noted in the left lower zone.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