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589</w:t>
      </w:r>
    </w:p>
    <w:p>
      <w:r>
        <w:t>Visit Number: f34863370ca020d0b908331b06b6f28c742d1d3825de299ab09a06e2e163e31a</w:t>
      </w:r>
    </w:p>
    <w:p>
      <w:r>
        <w:t>Masked_PatientID: 589</w:t>
      </w:r>
    </w:p>
    <w:p>
      <w:r>
        <w:t>Order ID: 89cb4f3cb86c53eb3b05bc1dde8d5b9af1818aa6030996fcc0bd7d750465ba62</w:t>
      </w:r>
    </w:p>
    <w:p>
      <w:r>
        <w:t>Order Name: Chest X-ray</w:t>
      </w:r>
    </w:p>
    <w:p>
      <w:r>
        <w:t>Result Item Code: CHE-NOV</w:t>
      </w:r>
    </w:p>
    <w:p>
      <w:r>
        <w:t>Performed Date Time: 20/8/2017 22:32</w:t>
      </w:r>
    </w:p>
    <w:p>
      <w:r>
        <w:t>Line Num: 1</w:t>
      </w:r>
    </w:p>
    <w:p>
      <w:r>
        <w:t>Text:       HISTORY jaw pain with SOB REPORT Comparison made with prior chest radiograph dated 11 December 2014. CT Aortogram dated 31 July 2017 was reviewed. The heart size is within normal limits. The aorta is unfolded. Patchy areas ofreticular opacities are seen predominantly in the peripheries of  both lungs compatible with known underlying interstitial lung disease. Volume loss  in both lungs is more apparent. There are also superimposed airspace changes in the left lung.  No pleural effusion is seen. There is non-union of the left clavicle fracture.   May need further action Reported by: &lt;DOCTOR&gt;</w:t>
      </w:r>
    </w:p>
    <w:p>
      <w:r>
        <w:t>Accession Number: 8545c2f133f1c44f8fb86e89613b674e0f2ee5e95a3714c433aee040c1b040be</w:t>
      </w:r>
    </w:p>
    <w:p>
      <w:r>
        <w:t>Updated Date Time: 21/8/2017 18:26</w:t>
      </w:r>
    </w:p>
    <w:p>
      <w:pPr>
        <w:pStyle w:val="Heading2"/>
      </w:pPr>
      <w:r>
        <w:t>Layman Explanation</w:t>
      </w:r>
    </w:p>
    <w:p>
      <w:r>
        <w:t>This radiology report discusses       HISTORY jaw pain with SOB REPORT Comparison made with prior chest radiograph dated 11 December 2014. CT Aortogram dated 31 July 2017 was reviewed. The heart size is within normal limits. The aorta is unfolded. Patchy areas ofreticular opacities are seen predominantly in the peripheries of  both lungs compatible with known underlying interstitial lung disease. Volume loss  in both lungs is more apparent. There are also superimposed airspace changes in the left lung.  No pleural effusion is seen. There is non-union of the left clavicle fracture.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