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694</w:t>
      </w:r>
    </w:p>
    <w:p>
      <w:r>
        <w:t>Visit Number: b675a0ead6f923b657f2b2924d7e6227fe437438d46ea6e8fac4d13aeef57015</w:t>
      </w:r>
    </w:p>
    <w:p>
      <w:r>
        <w:t>Masked_PatientID: 681</w:t>
      </w:r>
    </w:p>
    <w:p>
      <w:r>
        <w:t>Order ID: 70644e6fca47561515e2b2bb726bf3ba9faf13e4676745cbda8741a7a3b9585a</w:t>
      </w:r>
    </w:p>
    <w:p>
      <w:r>
        <w:t>Order Name: Chest X-ray</w:t>
      </w:r>
    </w:p>
    <w:p>
      <w:r>
        <w:t>Result Item Code: CHE-NOV</w:t>
      </w:r>
    </w:p>
    <w:p>
      <w:r>
        <w:t>Performed Date Time: 08/11/2017 9:48</w:t>
      </w:r>
    </w:p>
    <w:p>
      <w:r>
        <w:t>Line Num: 1</w:t>
      </w:r>
    </w:p>
    <w:p>
      <w:r>
        <w:t>Text:      HISTORY s/p type a aortic dissection repair FINDINGS Note is made of the chest radiograph of 11 Oct 2017. Sternotomy wires and aortic stent graft in situ. The stent graft is grossly stable  in position.  Background aortic unfolding and borderline cardiomegaly are unchanged.  No air-space opacification or pleural effusion is detected.      Known / Minor  Finalised by: &lt;DOCTOR&gt;</w:t>
      </w:r>
    </w:p>
    <w:p>
      <w:r>
        <w:t>Accession Number: 373d3f54fceb885e11d08e6eb3d6b5fc4ad946aa8c7e6fb9e8205f5b68041833</w:t>
      </w:r>
    </w:p>
    <w:p>
      <w:r>
        <w:t>Updated Date Time: 08/11/2017 15:07</w:t>
      </w:r>
    </w:p>
    <w:p>
      <w:pPr>
        <w:pStyle w:val="Heading2"/>
      </w:pPr>
      <w:r>
        <w:t>Layman Explanation</w:t>
      </w:r>
    </w:p>
    <w:p>
      <w:r>
        <w:t>This radiology report discusses      HISTORY s/p type a aortic dissection repair FINDINGS Note is made of the chest radiograph of 11 Oct 2017. Sternotomy wires and aortic stent graft in situ. The stent graft is grossly stable  in position.  Background aortic unfolding and borderline cardiomegaly are unchanged.  No air-space opacification or pleural effusion is detected.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