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w:t>
      </w:r>
    </w:p>
    <w:p>
      <w:r>
        <w:t>Visit Number: 4309b48cf52326421d1f5fed62c209a5e6287eb2cad4ef96ca35bd48df17b0fd</w:t>
      </w:r>
    </w:p>
    <w:p>
      <w:r>
        <w:t>Masked_PatientID: 69</w:t>
      </w:r>
    </w:p>
    <w:p>
      <w:r>
        <w:t>Order ID: 69757309e564a0b7fa4c1f2d1396e02a6b90759496182fa2fb429a77d41ed5af</w:t>
      </w:r>
    </w:p>
    <w:p>
      <w:r>
        <w:t>Order Name: Chest X-ray</w:t>
      </w:r>
    </w:p>
    <w:p>
      <w:r>
        <w:t>Result Item Code: CHE-NOV</w:t>
      </w:r>
    </w:p>
    <w:p>
      <w:r>
        <w:t>Performed Date Time: 08/8/2016 20:09</w:t>
      </w:r>
    </w:p>
    <w:p>
      <w:r>
        <w:t>Line Num: 1</w:t>
      </w:r>
    </w:p>
    <w:p>
      <w:r>
        <w:t>Text:       HISTORY sob REPORT  Comparison chest radiograph dated 27 July 2016. Cardiomegaly is evident despite the projection. Interval development of patchy airspace opacification over the right lower zone may  represent infective change. Bilateral small pleural effusions are unchanged from  before.    May need further action Finalised by: &lt;DOCTOR&gt;</w:t>
      </w:r>
    </w:p>
    <w:p>
      <w:r>
        <w:t>Accession Number: c104e4a658adbc6d739efdb7cc80bac70f4e50131032e1c08a5b4404c5ad4907</w:t>
      </w:r>
    </w:p>
    <w:p>
      <w:r>
        <w:t>Updated Date Time: 12/8/2016 16:09</w:t>
      </w:r>
    </w:p>
    <w:p>
      <w:pPr>
        <w:pStyle w:val="Heading2"/>
      </w:pPr>
      <w:r>
        <w:t>Layman Explanation</w:t>
      </w:r>
    </w:p>
    <w:p>
      <w:r>
        <w:t>This radiology report discusses       HISTORY sob REPORT  Comparison chest radiograph dated 27 July 2016. Cardiomegaly is evident despite the projection. Interval development of patchy airspace opacification over the right lower zone may  represent infective change. Bilateral small pleural effusions are unchanged from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