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777</w:t>
      </w:r>
    </w:p>
    <w:p>
      <w:r>
        <w:t>Visit Number: 4a215e65499bc7dba70c3d48b96c29c67324ac00192708d7dcede8479eced3aa</w:t>
      </w:r>
    </w:p>
    <w:p>
      <w:r>
        <w:t>Masked_PatientID: 774</w:t>
      </w:r>
    </w:p>
    <w:p>
      <w:r>
        <w:t>Order ID: 98cf5e66414299de6b98d7289121248961265062a444ebd5182b479df8063ead</w:t>
      </w:r>
    </w:p>
    <w:p>
      <w:r>
        <w:t>Order Name: Chest X-ray, Erect</w:t>
      </w:r>
    </w:p>
    <w:p>
      <w:r>
        <w:t>Result Item Code: CHE-ER</w:t>
      </w:r>
    </w:p>
    <w:p>
      <w:r>
        <w:t>Performed Date Time: 28/12/2015 12:22</w:t>
      </w:r>
    </w:p>
    <w:p>
      <w:r>
        <w:t>Line Num: 1</w:t>
      </w:r>
    </w:p>
    <w:p>
      <w:r>
        <w:t>Text:       HISTORY LTR REPORT The heart size and mediastinal configuration are normal.   Scarring with granuloma formation evident in the right upper zone.  Direct comparison  with previous chest radiograph, if available, is prudent to assess for interval stability. No active lung lesion is seen in the left hemithorax.  May need further action Finalised by: &lt;DOCTOR&gt;</w:t>
      </w:r>
    </w:p>
    <w:p>
      <w:r>
        <w:t>Accession Number: 674a37ee34947932b4902c2fcc97cf854cb868ad70859f82d6804861b37a8353</w:t>
      </w:r>
    </w:p>
    <w:p>
      <w:r>
        <w:t>Updated Date Time: 28/12/2015 12:33</w:t>
      </w:r>
    </w:p>
    <w:p>
      <w:pPr>
        <w:pStyle w:val="Heading2"/>
      </w:pPr>
      <w:r>
        <w:t>Layman Explanation</w:t>
      </w:r>
    </w:p>
    <w:p>
      <w:r>
        <w:t>This radiology report discusses       HISTORY LTR REPORT The heart size and mediastinal configuration are normal.   Scarring with granuloma formation evident in the right upper zone.  Direct comparison  with previous chest radiograph, if available, is prudent to assess for interval stability. No active lung lesion is seen in the left hemithorax.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