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w:t>
      </w:r>
    </w:p>
    <w:p>
      <w:r>
        <w:t>Visit Number: 3e9532a4905cd7fce69037100c2a5973f25bcf32e1c70b527dea83d7b1fdeef4</w:t>
      </w:r>
    </w:p>
    <w:p>
      <w:r>
        <w:t>Masked_PatientID: 123</w:t>
      </w:r>
    </w:p>
    <w:p>
      <w:r>
        <w:t>Order ID: 49d3e3055ea18c970dadb065afccd678af9502e401e4fc57b5e2a0a4db0242f7</w:t>
      </w:r>
    </w:p>
    <w:p>
      <w:r>
        <w:t>Order Name: Chest X-ray</w:t>
      </w:r>
    </w:p>
    <w:p>
      <w:r>
        <w:t>Result Item Code: CHE-NOV</w:t>
      </w:r>
    </w:p>
    <w:p>
      <w:r>
        <w:t>Performed Date Time: 05/1/2016 23:24</w:t>
      </w:r>
    </w:p>
    <w:p>
      <w:r>
        <w:t>Line Num: 1</w:t>
      </w:r>
    </w:p>
    <w:p>
      <w:r>
        <w:t>Text:       HISTORY CABG pre op REPORT Cardiac shadow upper limits of normal with CT ratio of 12.5/25. Compared to the previous  film dated 27/10/15, the ill-defined opacities seen in both lower zones appear fairly  stable and may be due to old infective change. Opacities seen at the regions of both  costo phrenic angles could be due to pleural thickening/small effusions. The tip  of the Hickman’s catheter is projected over the right atrial shadow.   Known / Minor  Finalised by: &lt;DOCTOR&gt;</w:t>
      </w:r>
    </w:p>
    <w:p>
      <w:r>
        <w:t>Accession Number: 3feccb9c09ea8c778a0ef2bd3f48e87743b767b32a1d50eb1d511d24bb73d776</w:t>
      </w:r>
    </w:p>
    <w:p>
      <w:r>
        <w:t>Updated Date Time: 06/1/2016 13:36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