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w:t>
      </w:r>
    </w:p>
    <w:p>
      <w:r>
        <w:t>Visit Number: 4902e5d9f8b0e3658ce1ec9dd0c637717d618384884b1e7a4b986221e3064b0d</w:t>
      </w:r>
    </w:p>
    <w:p>
      <w:r>
        <w:t>Masked_PatientID: 168</w:t>
      </w:r>
    </w:p>
    <w:p>
      <w:r>
        <w:t>Order ID: 567ed34d93b0d8026a605e0a54925dd12a6937fa019b61236db87c1557f8bc28</w:t>
      </w:r>
    </w:p>
    <w:p>
      <w:r>
        <w:t>Order Name: Chest X-ray, Erect</w:t>
      </w:r>
    </w:p>
    <w:p>
      <w:r>
        <w:t>Result Item Code: CHE-ER</w:t>
      </w:r>
    </w:p>
    <w:p>
      <w:r>
        <w:t>Performed Date Time: 24/1/2015 16:44</w:t>
      </w:r>
    </w:p>
    <w:p>
      <w:r>
        <w:t>Line Num: 1</w:t>
      </w:r>
    </w:p>
    <w:p>
      <w:r>
        <w:t>Text:       HISTORY hemetemesis. REPORT Comparison is done with the previous study dated 21 Jan 2015.  Tip of the nasogastric tube has been retracted and is seen at the level of the T2  vertebral body. The cardiac silhouette and mediastinal contour cannot be accurately assessed due  to frontal projection and patient rotation but is grossly stable. The thoracic aorta  is unfolded.  Ill-defined airspace opacities are seen in the perihilar regions extending to the  lower zones. The horizontal fissure is thickened. Small left pleural effusion.    May need further action Finalised by: &lt;DOCTOR&gt;</w:t>
      </w:r>
    </w:p>
    <w:p>
      <w:r>
        <w:t>Accession Number: dec5f8c5c5920cf7374e88df030b25ed7393296873f24fd5405b0d554aa03634</w:t>
      </w:r>
    </w:p>
    <w:p>
      <w:r>
        <w:t>Updated Date Time: 25/1/2015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