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269</w:t>
      </w:r>
    </w:p>
    <w:p>
      <w:r>
        <w:t>Visit Number: f91bc1d4b707acc56774e44af8c7c1f887f25af2b7251524680229e5ac15efd5</w:t>
      </w:r>
    </w:p>
    <w:p>
      <w:r>
        <w:t>Masked_PatientID: 269</w:t>
      </w:r>
    </w:p>
    <w:p>
      <w:r>
        <w:t>Order ID: 1783390fd34e5a301c6aec1ece9eb45f664dd5d3836d9bc64bb4f73f2c3a063f</w:t>
      </w:r>
    </w:p>
    <w:p>
      <w:r>
        <w:t>Order Name: Chest X-ray</w:t>
      </w:r>
    </w:p>
    <w:p>
      <w:r>
        <w:t>Result Item Code: CHE-NOV</w:t>
      </w:r>
    </w:p>
    <w:p>
      <w:r>
        <w:t>Performed Date Time: 26/7/2016 8:13</w:t>
      </w:r>
    </w:p>
    <w:p>
      <w:r>
        <w:t>Line Num: 1</w:t>
      </w:r>
    </w:p>
    <w:p>
      <w:r>
        <w:t>Text:       HISTORY . check ng tube. REPORT CHEST (SUPINE MOBILE) TOTAL OF ONE IMAGE There are cardiac monitoring leads in place.   The tip of the endotracheal tube is about 1.0 cm above the carina.  Repositioning  of the tube tip to a more superior level is advised. The tip of the nasogastric tube is projected over the left hypochondrium.   and is likely to be pointing towards the fundus.  Therefore readjustment and repositioning  the tube tip is advised. The heart shadowand mediastinum cannot be assessed for size and configuration.   The lungs show neither congestion nor consolidation.  Both lateral costophrenic angles  appear to be satisfactory. The patient is undergoing burns treatment.   May need further action Finalised by: &lt;DOCTOR&gt;</w:t>
      </w:r>
    </w:p>
    <w:p>
      <w:r>
        <w:t>Accession Number: 2162a651c91f8572c4effdd89490e62f7f49f104c9cfd9534e6064168abfc716</w:t>
      </w:r>
    </w:p>
    <w:p>
      <w:r>
        <w:t>Updated Date Time: 26/7/2016 17:15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