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372</w:t>
      </w:r>
    </w:p>
    <w:p>
      <w:r>
        <w:t>Visit Number: 1b3aba5e5c76987e6f9213d9f9067e08c267f8a972bf59b8c75b41da8e98fed0</w:t>
      </w:r>
    </w:p>
    <w:p>
      <w:r>
        <w:t>Masked_PatientID: 356</w:t>
      </w:r>
    </w:p>
    <w:p>
      <w:r>
        <w:t>Order ID: 12fa495c12fa50d1fac62a770b7c41b709fd369f5d6a8d620f458f3189034eb9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06/10/2017 1:11</w:t>
      </w:r>
    </w:p>
    <w:p>
      <w:r>
        <w:t>Line Num: 1</w:t>
      </w:r>
    </w:p>
    <w:p>
      <w:r>
        <w:t>Text:       Upper sternal wires are visualised.  The heart, lungs and mediastinum are unremarkable.   The aorta is mildly unfurled.   Known / Minor  Finalised by: &lt;DOCTOR&gt;</w:t>
      </w:r>
    </w:p>
    <w:p>
      <w:r>
        <w:t>Accession Number: d4a1d22f7f7e0f07759d0905094d7132e481f7d830952bb740aae08840e40cc1</w:t>
      </w:r>
    </w:p>
    <w:p>
      <w:r>
        <w:t>Updated Date Time: 06/10/2017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