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380</w:t>
      </w:r>
    </w:p>
    <w:p>
      <w:r>
        <w:t>Visit Number: e7795ec4284cb2cbf3f9fb3037652bc28128d2a4309a85f4917b77c8311c5ddb</w:t>
      </w:r>
    </w:p>
    <w:p>
      <w:r>
        <w:t>Masked_PatientID: 378</w:t>
      </w:r>
    </w:p>
    <w:p>
      <w:r>
        <w:t>Order ID: 7e8e92cbdca19562d761d5c3f111214fca3d4feee806ce33f37cfe6b100c2697</w:t>
      </w:r>
    </w:p>
    <w:p>
      <w:r>
        <w:t>Order Name: Chest X-ray</w:t>
      </w:r>
    </w:p>
    <w:p>
      <w:r>
        <w:t>Result Item Code: CHE-NOV</w:t>
      </w:r>
    </w:p>
    <w:p>
      <w:r>
        <w:t>Performed Date Time: 20/11/2019 6:24</w:t>
      </w:r>
    </w:p>
    <w:p>
      <w:r>
        <w:t>Line Num: 1</w:t>
      </w:r>
    </w:p>
    <w:p>
      <w:r>
        <w:t>Text: HISTORY  LV laceration s/p repair REPORT Comparison study/studies: Chest X-ray, Erect 18/11/2019;Chest X-ray 17/11/2019 Chest supine mobile film ETT tip is 4.2 cm from the carina. Sternal sutures and clips over the mid and left  chest. Right chest tube tip is medially situated in the lower zone. Left chest tube  tip is in not well visualised. Catheter projected over heart shadow and IVC region.  Feeding tube tip is in body of stomach. Prosthetic cardiac valve in place. There  are patchy opacities in the  left lower lobe with an effusion. Multiple left-sided  rib fractures present. Right lung shows minimal basal atelectasis.  Report Indicator: May need further action Finalised by: &lt;DOCTOR&gt;</w:t>
      </w:r>
    </w:p>
    <w:p>
      <w:r>
        <w:t>Accession Number: d63ab9b8afa95977f979ea9f9e5230391b3fe11dd0141a33ceacb38485201dc5</w:t>
      </w:r>
    </w:p>
    <w:p>
      <w:r>
        <w:t>Updated Date Time: 21/11/2019 9:58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