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395</w:t>
      </w:r>
    </w:p>
    <w:p>
      <w:r>
        <w:t>Visit Number: e7795ec4284cb2cbf3f9fb3037652bc28128d2a4309a85f4917b77c8311c5ddb</w:t>
      </w:r>
    </w:p>
    <w:p>
      <w:r>
        <w:t>Masked_PatientID: 378</w:t>
      </w:r>
    </w:p>
    <w:p>
      <w:r>
        <w:t>Order ID: 71a45d600b64e2068a9c7a3e07781eba60bb6292babe73af1e0aa47016e757b6</w:t>
      </w:r>
    </w:p>
    <w:p>
      <w:r>
        <w:t>Order Name: Chest X-ray</w:t>
      </w:r>
    </w:p>
    <w:p>
      <w:r>
        <w:t>Result Item Code: CHE-NOV</w:t>
      </w:r>
    </w:p>
    <w:p>
      <w:r>
        <w:t>Performed Date Time: 28/11/2019 7:51</w:t>
      </w:r>
    </w:p>
    <w:p>
      <w:r>
        <w:t>Line Num: 1</w:t>
      </w:r>
    </w:p>
    <w:p>
      <w:r>
        <w:t>Text: HISTORY  post rib fixation for fracutres post RTA REPORT Reference is made to prior chest radiograph dated 27 November 2019. There is interval removal of the endotracheal tube. The tip of nasogastric tube is  below the diaphragm, formed a loop and directed towards the gastric fundus. The right  central venous catheter, right lower chest tube, left upper and lower chest drains  are in stable positions. Median sternotomy wires and surgical clips are noted. Surgical clips are also noted  along the left and right chest walls. Surgical fixation of the left sided ribs is  evident. Bilateral rib fractures are again demonstrated. The cardiac size cannot be well assessed. There is suggestion of increased small left pleural effusion, with bilateral lower  zones atelectasis.  Report Indicator: May need further action Finalised by: &lt;DOCTOR&gt;</w:t>
      </w:r>
    </w:p>
    <w:p>
      <w:r>
        <w:t>Accession Number: 9c5f59dd7a8dabcd8ed353132d0bde801fefb6fa89f29393b7462af725df3252</w:t>
      </w:r>
    </w:p>
    <w:p>
      <w:r>
        <w:t>Updated Date Time: 28/11/2019 16:30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