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463</w:t>
      </w:r>
    </w:p>
    <w:p>
      <w:r>
        <w:t>Visit Number: d638429ecc999c3d5542d8c8873278a9a4b100a9edf6b0593f776c9a36e71020</w:t>
      </w:r>
    </w:p>
    <w:p>
      <w:r>
        <w:t>Masked_PatientID: 456</w:t>
      </w:r>
    </w:p>
    <w:p>
      <w:r>
        <w:t>Order ID: 84ff94c83f9416f63aa5676e4cc56662161da25271886a9b2637b17bf130e640</w:t>
      </w:r>
    </w:p>
    <w:p>
      <w:r>
        <w:t>Order Name: Chest X-ray</w:t>
      </w:r>
    </w:p>
    <w:p>
      <w:r>
        <w:t>Result Item Code: CHE-NOV</w:t>
      </w:r>
    </w:p>
    <w:p>
      <w:r>
        <w:t>Performed Date Time: 13/1/2016 10:17</w:t>
      </w:r>
    </w:p>
    <w:p>
      <w:r>
        <w:t>Line Num: 1</w:t>
      </w:r>
    </w:p>
    <w:p>
      <w:r>
        <w:t>Text:       HISTORY . Repeat CXR for aspiration pneumonia REPORT CHEST (PA ERECT) TOTAL OF ONE IMAGE The previous chest radiograph of 18 December 2015 was reviewed with the report When the current chest radiograph is compared to the previous radiograph as referenced  above, there is significant improvement in the appearance of the lungs with clearing  of the airspace opacification.  The opacities that are remaining in both lungs are compatible with parenchymal scarring  and pleural thickening.  There is blunting of both lateral costophrenic angles by  pleural reaction.   The position of the tip of the single electrode AICD/pacemaker is unchanged.    May need further action Finalised by: &lt;DOCTOR&gt;</w:t>
      </w:r>
    </w:p>
    <w:p>
      <w:r>
        <w:t>Accession Number: 7f59f00db57ed236c9d8e2514aef84c95bc97bf345fd6f03f9b395c117dd0684</w:t>
      </w:r>
    </w:p>
    <w:p>
      <w:r>
        <w:t>Updated Date Time: 13/1/2016 22:24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