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1639, Performed Date: 01/1/2018 7:13</w:t>
      </w:r>
    </w:p>
    <w:p>
      <w:pPr>
        <w:pStyle w:val="Heading2"/>
      </w:pPr>
      <w:r>
        <w:t>Raw Radiology Report Extracted</w:t>
      </w:r>
    </w:p>
    <w:p>
      <w:r>
        <w:t>Visit Number: 58e9982775de8327312029200d00e41fb8d4498100ade4602ba4fbbbab10e955</w:t>
      </w:r>
    </w:p>
    <w:p>
      <w:r>
        <w:t>Masked_PatientID: 1639</w:t>
      </w:r>
    </w:p>
    <w:p>
      <w:r>
        <w:t>Order ID: 1a4fe25067e746d4870cbc365f459a5dfedb5fb2e21cb5cdc56d31caaafe22fb</w:t>
      </w:r>
    </w:p>
    <w:p>
      <w:r>
        <w:t>Order Name: Chest X-ray</w:t>
      </w:r>
    </w:p>
    <w:p>
      <w:r>
        <w:t>Result Item Code: CHE-NOV</w:t>
      </w:r>
    </w:p>
    <w:p>
      <w:r>
        <w:t>Performed Date Time: 01/1/2018 7:13</w:t>
      </w:r>
    </w:p>
    <w:p>
      <w:r>
        <w:t>Line Num: 1</w:t>
      </w:r>
    </w:p>
    <w:p>
      <w:r>
        <w:t>Text:       HISTORY sob REPORT  Comparison made to the study dated 14 September 2017. Stable position of the single  lead AICD. Status post CABG.  The cardiac size is enlarged.  Multiple sternal wire  fractures are noted.  Pulmonary congestion is noted.  No confluent consolidation  or pleural effusion is seen.  The lungs appear hyperinflated.   May need further action Finalised by: &lt;DOCTOR&gt;</w:t>
      </w:r>
    </w:p>
    <w:p>
      <w:r>
        <w:t>Accession Number: 9bd1e2db0d0f2ebb279f536e4c627b47a06920c0fe2cc16b435794ffcfb6dbbb</w:t>
      </w:r>
    </w:p>
    <w:p>
      <w:r>
        <w:t>Updated Date Time: 01/1/2018 15:24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