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1766, Performed Date: 19/2/2016 16:41</w:t>
      </w:r>
    </w:p>
    <w:p>
      <w:pPr>
        <w:pStyle w:val="Heading2"/>
      </w:pPr>
      <w:r>
        <w:t>Raw Radiology Report Extracted</w:t>
      </w:r>
    </w:p>
    <w:p>
      <w:r>
        <w:t>Visit Number: 6db35c8cc31695c0a31540f3dce343d7aa4ecc4434044214007fbe5c2569d9ec</w:t>
      </w:r>
    </w:p>
    <w:p>
      <w:r>
        <w:t>Masked_PatientID: 1766</w:t>
      </w:r>
    </w:p>
    <w:p>
      <w:r>
        <w:t>Order ID: 96a51e12fd1163d1a4776ce30f66d8ff9da58224d8d4d1d1d205d2bd03d4d6f8</w:t>
      </w:r>
    </w:p>
    <w:p>
      <w:r>
        <w:t>Order Name: Chest X-ray</w:t>
      </w:r>
    </w:p>
    <w:p>
      <w:r>
        <w:t>Result Item Code: CHE-NOV</w:t>
      </w:r>
    </w:p>
    <w:p>
      <w:r>
        <w:t>Performed Date Time: 19/2/2016 16:41</w:t>
      </w:r>
    </w:p>
    <w:p>
      <w:r>
        <w:t>Line Num: 1</w:t>
      </w:r>
    </w:p>
    <w:p>
      <w:r>
        <w:t>Text:       HISTORY sepsis REPORT Chest AP sitting. Prior radiograph dated  16/02/2016  was reviewed. Upper lobe venous diversion and prominent vascular markings are seen compared to  previous radiograph may suggest fluid overload.  Atypicalinfection is another differential.   The patchy opacities in the right right mid zone are unchanged.  The heart size  cannot be accurately assessed.  Right PICC is in situ.    May need further action Finalised by: &lt;DOCTOR&gt;</w:t>
      </w:r>
    </w:p>
    <w:p>
      <w:r>
        <w:t>Accession Number: 15d9e531a3a274753a793a725c97727f032e9a257bb586ac8ca925765b251744</w:t>
      </w:r>
    </w:p>
    <w:p>
      <w:r>
        <w:t>Updated Date Time: 20/2/2016 17:48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