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17/5/2016 16:48</w:t>
      </w:r>
    </w:p>
    <w:p>
      <w:pPr>
        <w:pStyle w:val="Heading2"/>
      </w:pPr>
      <w:r>
        <w:t>Raw Radiology Report Extracted</w:t>
      </w:r>
    </w:p>
    <w:p>
      <w:r>
        <w:t>Visit Number: a21be6af30544bbc1a885afc97ddcb9ba8a74565f2b346f4fcde1ce4b74b446c</w:t>
      </w:r>
    </w:p>
    <w:p>
      <w:r>
        <w:t>Masked_PatientID: 2022</w:t>
      </w:r>
    </w:p>
    <w:p>
      <w:r>
        <w:t>Order ID: a1f3de5d9ac136a77618f0a82040aa933e1373f0216f3fd225ec7e8d9b01650a</w:t>
      </w:r>
    </w:p>
    <w:p>
      <w:r>
        <w:t>Order Name: Chest X-ray, Erect</w:t>
      </w:r>
    </w:p>
    <w:p>
      <w:r>
        <w:t>Result Item Code: CHE-ER</w:t>
      </w:r>
    </w:p>
    <w:p>
      <w:r>
        <w:t>Performed Date Time: 17/5/2016 16:48</w:t>
      </w:r>
    </w:p>
    <w:p>
      <w:r>
        <w:t>Line Num: 1</w:t>
      </w:r>
    </w:p>
    <w:p>
      <w:r>
        <w:t>Text:       HISTORY fever+cough REPORT   Chest X-ray: AP sitting Prior chest radiograph dated 26 November 2015 is reviewed. There are reticular opacities in both lungs, predominantly in bilateral lower zones,  in keeping with known interstitial lung disease.  Patchy air space opacities are  present in bilateral mid to lower zones, which may represent infective changes in  the current clinical setting. The cardiac size appears enlarged despite accounting for the AP projection. May need further action Finalised by: &lt;DOCTOR&gt;</w:t>
      </w:r>
    </w:p>
    <w:p>
      <w:r>
        <w:t>Accession Number: 2b337dd83eeaeb9ff3d812637f8a7e1898378814068622cd523bb41c8a29b2b6</w:t>
      </w:r>
    </w:p>
    <w:p>
      <w:r>
        <w:t>Updated Date Time: 18/5/2016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