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27/6/2019 9:49</w:t>
      </w:r>
    </w:p>
    <w:p>
      <w:pPr>
        <w:pStyle w:val="Heading2"/>
      </w:pPr>
      <w:r>
        <w:t>Raw Radiology Report Extracted</w:t>
      </w:r>
    </w:p>
    <w:p>
      <w:r>
        <w:t>Visit Number: d67f88e575d46cb2ca21fa6d8d7ef8c2a52ca1a22b0d5b323fca7106bbc5dc5f</w:t>
      </w:r>
    </w:p>
    <w:p>
      <w:r>
        <w:t>Masked_PatientID: 2210</w:t>
      </w:r>
    </w:p>
    <w:p>
      <w:r>
        <w:t>Order ID: edd675e272d6fbfbd5e1f1384f14e8b99ac047e0c0f4b6f46a1d9b657352ea55</w:t>
      </w:r>
    </w:p>
    <w:p>
      <w:r>
        <w:t>Order Name: Chest X-ray, Erect</w:t>
      </w:r>
    </w:p>
    <w:p>
      <w:r>
        <w:t>Result Item Code: CHE-ER</w:t>
      </w:r>
    </w:p>
    <w:p>
      <w:r>
        <w:t>Performed Date Time: 27/6/2019 9:49</w:t>
      </w:r>
    </w:p>
    <w:p>
      <w:r>
        <w:t>Line Num: 1</w:t>
      </w:r>
    </w:p>
    <w:p>
      <w:r>
        <w:t>Text: HISTORY  Cough x 1 month REPORT CXR Comparison with CXR on 10.4.18. The heart size and mediastinal configuration are normal.  No active lung lesion is seen. No effusion is seen. Left mastectomy noted. There is mild angulation of the left ninth rib suspicious for an undisplaced crack  fracture. No calcified callus is seen. Report Indicator: Further action or early intervention required Finalised by: &lt;DOCTOR&gt;</w:t>
      </w:r>
    </w:p>
    <w:p>
      <w:r>
        <w:t>Accession Number: 105a50a5b576839dca523b50a3c696a8247794edecbf625c5cbecfc8bf0ff593</w:t>
      </w:r>
    </w:p>
    <w:p>
      <w:r>
        <w:t>Updated Date Time: 27/6/2019 10:37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