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2532, Performed Date: 28/7/2020 1:13</w:t>
      </w:r>
    </w:p>
    <w:p>
      <w:pPr>
        <w:pStyle w:val="Heading2"/>
      </w:pPr>
      <w:r>
        <w:t>Raw Radiology Report Extracted</w:t>
      </w:r>
    </w:p>
    <w:p>
      <w:r>
        <w:t>Visit Number: 679a550c74ad54f446bcc92ee046f395ae258dbfb166f2f4c5e9dabb169fc17c</w:t>
      </w:r>
    </w:p>
    <w:p>
      <w:r>
        <w:t>Masked_PatientID: 2532</w:t>
      </w:r>
    </w:p>
    <w:p>
      <w:r>
        <w:t>Order ID: 4350091832a6a0e52456c98674c1ed5f237523e3fcdf5166f1c040f6861c6c36</w:t>
      </w:r>
    </w:p>
    <w:p>
      <w:r>
        <w:t>Order Name: Chest X-ray</w:t>
      </w:r>
    </w:p>
    <w:p>
      <w:r>
        <w:t>Result Item Code: CHE-NOV</w:t>
      </w:r>
    </w:p>
    <w:p>
      <w:r>
        <w:t>Performed Date Time: 28/7/2020 1:13</w:t>
      </w:r>
    </w:p>
    <w:p>
      <w:r>
        <w:t>Line Num: 1</w:t>
      </w:r>
    </w:p>
    <w:p>
      <w:r>
        <w:t>Text: HISTORY  ?pneumonia ?sepsis REPORT Comparison:  22 July 2020. Right central venous catheter noted in position. No cardiomegaly. The lungs appear  clear apart from minor left pleural density just above the left costophrenic angle. Discretecalcifications over the left axillary region raises the possibility of vascular/venous  malformation or adenopathy. Report Indicator: May need further action Finalised by: &lt;DOCTOR&gt;</w:t>
      </w:r>
    </w:p>
    <w:p>
      <w:r>
        <w:t>Accession Number: 1128befc98958a3886ad4050398fbd71df015f9cb7335355155487f9400bc2e9</w:t>
      </w:r>
    </w:p>
    <w:p>
      <w:r>
        <w:t>Updated Date Time: 29/7/2020 8:00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