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2609, Performed Date: 03/2/2018 18:03</w:t>
      </w:r>
    </w:p>
    <w:p>
      <w:pPr>
        <w:pStyle w:val="Heading2"/>
      </w:pPr>
      <w:r>
        <w:t>Raw Radiology Report Extracted</w:t>
      </w:r>
    </w:p>
    <w:p>
      <w:r>
        <w:t>Visit Number: 00daa5fe98241ad4590706c2d301197e500697cf74db1fcfbf107107f26731b0</w:t>
      </w:r>
    </w:p>
    <w:p>
      <w:r>
        <w:t>Masked_PatientID: 2609</w:t>
      </w:r>
    </w:p>
    <w:p>
      <w:r>
        <w:t>Order ID: c16bf439d2e5adc06ea89091a671330d15ca37eaf0336671ff9fd611797273de</w:t>
      </w:r>
    </w:p>
    <w:p>
      <w:r>
        <w:t>Order Name: Chest X-ray</w:t>
      </w:r>
    </w:p>
    <w:p>
      <w:r>
        <w:t>Result Item Code: CHE-NOV</w:t>
      </w:r>
    </w:p>
    <w:p>
      <w:r>
        <w:t>Performed Date Time: 03/2/2018 18:03</w:t>
      </w:r>
    </w:p>
    <w:p>
      <w:r>
        <w:t>Line Num: 1</w:t>
      </w:r>
    </w:p>
    <w:p>
      <w:r>
        <w:t>Text:       HISTORY hx of bronchiectasis. 4/52 hx of cough. REPORT  Comparison chest radiograph dated 17 August 2017. Status post CABG.  Tip of the nasogastric tube is projected over the expected position  of the gastric body. Cardiomediastinal silhouette is within normal limits.  The thoracic aorta is unfolded  with intimal calcification. Patchy airspace opacification over the right lower zone may represent infective change  in the given clinical context.  No pleural effusion or pneumothorax is seen. Old right lower rib fractures are again noted.   May need further action Finalised by: &lt;DOCTOR&gt;</w:t>
      </w:r>
    </w:p>
    <w:p>
      <w:r>
        <w:t>Accession Number: 0498e57eed83798e0ff1861754b6e844168159f0b03d1260a7f599a86ca0fff1</w:t>
      </w:r>
    </w:p>
    <w:p>
      <w:r>
        <w:t>Updated Date Time: 04/2/2018 18:04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