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2668, Performed Date: 19/2/2015 11:42</w:t>
      </w:r>
    </w:p>
    <w:p>
      <w:pPr>
        <w:pStyle w:val="Heading2"/>
      </w:pPr>
      <w:r>
        <w:t>Raw Radiology Report Extracted</w:t>
      </w:r>
    </w:p>
    <w:p>
      <w:r>
        <w:t>Visit Number: 2ad8c454651639dcfdf060bd9f11134bfa5dbc851ffb4d08895b6ffbbc47a7e7</w:t>
      </w:r>
    </w:p>
    <w:p>
      <w:r>
        <w:t>Masked_PatientID: 2668</w:t>
      </w:r>
    </w:p>
    <w:p>
      <w:r>
        <w:t>Order ID: bfeb693f66582b4c2115670810a2bc12752bbd646788c3dd98f36a6837df614f</w:t>
      </w:r>
    </w:p>
    <w:p>
      <w:r>
        <w:t>Order Name: Chest X-ray</w:t>
      </w:r>
    </w:p>
    <w:p>
      <w:r>
        <w:t>Result Item Code: CHE-NOV</w:t>
      </w:r>
    </w:p>
    <w:p>
      <w:r>
        <w:t>Performed Date Time: 19/2/2015 11:42</w:t>
      </w:r>
    </w:p>
    <w:p>
      <w:r>
        <w:t>Line Num: 1</w:t>
      </w:r>
    </w:p>
    <w:p>
      <w:r>
        <w:t>Text:       HISTORY bronchitis REPORT  Cardiac size appears normal.  Multifocal air space opacities in bilateral lower  zones associated with moderate right pleural effusion and mild left pleural effusion  may be due to infective aetiology.  Clinical correlation and follow-up radiographs  is suggested.   Further action or early intervention required Finalised by: &lt;DOCTOR&gt;</w:t>
      </w:r>
    </w:p>
    <w:p>
      <w:r>
        <w:t>Accession Number: ea6d94718a107458372c6e36c85c432edd215ef1f5218432423c5d71018a2adf</w:t>
      </w:r>
    </w:p>
    <w:p>
      <w:r>
        <w:t>Updated Date Time: 19/2/2015 17:29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