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2783, Performed Date: 16/4/2019 22:26</w:t>
      </w:r>
    </w:p>
    <w:p>
      <w:pPr>
        <w:pStyle w:val="Heading2"/>
      </w:pPr>
      <w:r>
        <w:t>Raw Radiology Report Extracted</w:t>
      </w:r>
    </w:p>
    <w:p>
      <w:r>
        <w:t>Visit Number: 7fc8ff15a20c5436b3473cc4b985e84dd930177a450772cec126c7f3d42c595a</w:t>
      </w:r>
    </w:p>
    <w:p>
      <w:r>
        <w:t>Masked_PatientID: 2783</w:t>
      </w:r>
    </w:p>
    <w:p>
      <w:r>
        <w:t>Order ID: 5712fb8751990327185d778e09292ac9c8f67d132c3b9b2734459da1f0518664</w:t>
      </w:r>
    </w:p>
    <w:p>
      <w:r>
        <w:t>Order Name: Chest X-ray, Erect</w:t>
      </w:r>
    </w:p>
    <w:p>
      <w:r>
        <w:t>Result Item Code: CHE-ER</w:t>
      </w:r>
    </w:p>
    <w:p>
      <w:r>
        <w:t>Performed Date Time: 16/4/2019 22:26</w:t>
      </w:r>
    </w:p>
    <w:p>
      <w:r>
        <w:t>Line Num: 1</w:t>
      </w:r>
    </w:p>
    <w:p>
      <w:r>
        <w:t>Text: HISTORY  COUGH REPORT Previous chest radiograph dated 29\12\17 was reviewed. The heart size is normal. Patchy airspace opacification is detected in the bilateral mid-to-lower zones which  may represent infective changes given the clinicalcontext. Blunting of the right  costophrenic angle may represent a small right pleural effusion.  Report Indicator: May need further action Reported by: &lt;DOCTOR&gt;</w:t>
      </w:r>
    </w:p>
    <w:p>
      <w:r>
        <w:t>Accession Number: 2bb43496501452fd913cc04d7cb09e325d7829ea1effd52594109e95a7a99731</w:t>
      </w:r>
    </w:p>
    <w:p>
      <w:r>
        <w:t>Updated Date Time: 17/4/2019 11:55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