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2823, Performed Date: 16/6/2017 23:09</w:t>
      </w:r>
    </w:p>
    <w:p>
      <w:pPr>
        <w:pStyle w:val="Heading2"/>
      </w:pPr>
      <w:r>
        <w:t>Raw Radiology Report Extracted</w:t>
      </w:r>
    </w:p>
    <w:p>
      <w:r>
        <w:t>Visit Number: 038fe460e02a70090746eff0ac75480aa6fda32f9e26df04d0536be6ae3b9a1d</w:t>
      </w:r>
    </w:p>
    <w:p>
      <w:r>
        <w:t>Masked_PatientID: 2823</w:t>
      </w:r>
    </w:p>
    <w:p>
      <w:r>
        <w:t>Order ID: 1a855204342d55b9e6a640e9e81f536bda819e27439844569981631f8493c89d</w:t>
      </w:r>
    </w:p>
    <w:p>
      <w:r>
        <w:t>Order Name: Chest X-ray</w:t>
      </w:r>
    </w:p>
    <w:p>
      <w:r>
        <w:t>Result Item Code: CHE-NOV</w:t>
      </w:r>
    </w:p>
    <w:p>
      <w:r>
        <w:t>Performed Date Time: 16/6/2017 23:09</w:t>
      </w:r>
    </w:p>
    <w:p>
      <w:r>
        <w:t>Line Num: 1</w:t>
      </w:r>
    </w:p>
    <w:p>
      <w:r>
        <w:t>Text:       HISTORY fluid overload, bilateral LL swelling, bilateral basal creps REPORT Comparison was made with the previous chest radiograph dated 15 February 2016. Midline sternotomy wires and mediastinal clips are compatible with priorCABG. Stable cardiomegaly is noted. Air-space opacification is seen in the right mid and bilateral lower zones. Together  with bilateral small pleural effusions, prominent pulmonary vasculature and septal  lines, these features are compatiblewith fluid overload. However, concomitant lung  infection cannot be excluded.   May need further action Finalised by: &lt;DOCTOR&gt;</w:t>
      </w:r>
    </w:p>
    <w:p>
      <w:r>
        <w:t>Accession Number: 2f28fd49295563b12895e15a2039be33b26939956cd30c5d2b82e8cb1c5cf7ad</w:t>
      </w:r>
    </w:p>
    <w:p>
      <w:r>
        <w:t>Updated Date Time: 19/6/2017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