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2928, Performed Date: 13/4/2019 14:49</w:t>
      </w:r>
    </w:p>
    <w:p>
      <w:pPr>
        <w:pStyle w:val="Heading2"/>
      </w:pPr>
      <w:r>
        <w:t>Raw Radiology Report Extracted</w:t>
      </w:r>
    </w:p>
    <w:p>
      <w:r>
        <w:t>Visit Number: e42d6433559653e45f96e68cdfb17c3bbffdc8289b7775b9f316f4aef1615a04</w:t>
      </w:r>
    </w:p>
    <w:p>
      <w:r>
        <w:t>Masked_PatientID: 2928</w:t>
      </w:r>
    </w:p>
    <w:p>
      <w:r>
        <w:t>Order ID: 1f49c3985c5f1a8b3e3456291bb0b09f953e2a8726343899a3778a4951d9567f</w:t>
      </w:r>
    </w:p>
    <w:p>
      <w:r>
        <w:t>Order Name: Chest X-ray</w:t>
      </w:r>
    </w:p>
    <w:p>
      <w:r>
        <w:t>Result Item Code: CHE-NOV</w:t>
      </w:r>
    </w:p>
    <w:p>
      <w:r>
        <w:t>Performed Date Time: 13/4/2019 14:49</w:t>
      </w:r>
    </w:p>
    <w:p>
      <w:r>
        <w:t>Line Num: 1</w:t>
      </w:r>
    </w:p>
    <w:p>
      <w:r>
        <w:t>Text: HISTORY  .STEMI monitoring for fluid overload REPORT Tip of the I A B P catheter is projected below the aortic knuckle. Right central  venous catheter is projected over the SVC. Left basal atelectasis and bilateral small  pleural effusions areunchanged. Report Indicator: Known \ Minor Finalised by: &lt;DOCTOR&gt;</w:t>
      </w:r>
    </w:p>
    <w:p>
      <w:r>
        <w:t>Accession Number: 0e9539cb587b7b14c2073bd3075535ba762b49686b8ab43e6da86c7cebd3b0d8</w:t>
      </w:r>
    </w:p>
    <w:p>
      <w:r>
        <w:t>Updated Date Time: 14/4/2019 9:59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