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3189, Performed Date: 23/4/2019 10:56</w:t>
      </w:r>
    </w:p>
    <w:p>
      <w:pPr>
        <w:pStyle w:val="Heading2"/>
      </w:pPr>
      <w:r>
        <w:t>Raw Radiology Report Extracted</w:t>
      </w:r>
    </w:p>
    <w:p>
      <w:r>
        <w:t>Visit Number: 789eef486471589fdfc1f26e13d26a6be2ddbc6a76c01995695df784d8ea452d</w:t>
      </w:r>
    </w:p>
    <w:p>
      <w:r>
        <w:t>Masked_PatientID: 3189</w:t>
      </w:r>
    </w:p>
    <w:p>
      <w:r>
        <w:t>Order ID: 33e3214e06d10ec969f56938a34dd6f08d97f480b483c193c28552f2ffc27e0e</w:t>
      </w:r>
    </w:p>
    <w:p>
      <w:r>
        <w:t>Order Name: Chest X-ray</w:t>
      </w:r>
    </w:p>
    <w:p>
      <w:r>
        <w:t>Result Item Code: CHE-NOV</w:t>
      </w:r>
    </w:p>
    <w:p>
      <w:r>
        <w:t>Performed Date Time: 23/4/2019 10:56</w:t>
      </w:r>
    </w:p>
    <w:p>
      <w:r>
        <w:t>Line Num: 1</w:t>
      </w:r>
    </w:p>
    <w:p>
      <w:r>
        <w:t>Text: HISTORY  LRTI vs early L LZ pneumonia REPORT Comparison: Chest X-ray, Erect 27\03\2019 The heart size and mediastinal configuration are normal.  No active lung lesion is seen. Previously noted left lower zone atelectasis and peribronchialwall thickening in  the right lower zone have resolved. Report Indicator: Normal Finalised by: &lt;DOCTOR&gt;</w:t>
      </w:r>
    </w:p>
    <w:p>
      <w:r>
        <w:t>Accession Number: c2286053bcc9219357ff698750d10bce61d96054a074c45816ffa6524f19d797</w:t>
      </w:r>
    </w:p>
    <w:p>
      <w:r>
        <w:t>Updated Date Time: 24/4/2019 18:11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