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20/9/2018 6:41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8b77a1439a090ace437be07bb27b5e89820d7158b01ed9a9958844e85e313bbd</w:t>
      </w:r>
    </w:p>
    <w:p>
      <w:r>
        <w:t>Order Name: Chest X-ray</w:t>
      </w:r>
    </w:p>
    <w:p>
      <w:r>
        <w:t>Result Item Code: CHE-NOV</w:t>
      </w:r>
    </w:p>
    <w:p>
      <w:r>
        <w:t>Performed Date Time: 20/9/2018 6:41</w:t>
      </w:r>
    </w:p>
    <w:p>
      <w:r>
        <w:t>Line Num: 1</w:t>
      </w:r>
    </w:p>
    <w:p>
      <w:r>
        <w:t>Text:       There is no discernible change from the last examination insofar as there is still  a large left pleural effusion.  The right lung is deemed unremarkable.  The right  and Left IJ catheters are unchanged.  The aorta is unfurled.   May need further action Finalised by: &lt;DOCTOR&gt;</w:t>
      </w:r>
    </w:p>
    <w:p>
      <w:r>
        <w:t>Accession Number: f34b0316a4557e975458f16fa29a6561ba82e67380f977e5a1fba69c3a0b12cf</w:t>
      </w:r>
    </w:p>
    <w:p>
      <w:r>
        <w:t>Updated Date Time: 21/9/2018 5:16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