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3771, Performed Date: 13/5/2017 21:17</w:t>
      </w:r>
    </w:p>
    <w:p>
      <w:pPr>
        <w:pStyle w:val="Heading2"/>
      </w:pPr>
      <w:r>
        <w:t>Raw Radiology Report Extracted</w:t>
      </w:r>
    </w:p>
    <w:p>
      <w:r>
        <w:t>Visit Number: d64c60c0993cc8a52d041e5ebf9846f2f1941dcd87807607625ae0352abc0f02</w:t>
      </w:r>
    </w:p>
    <w:p>
      <w:r>
        <w:t>Masked_PatientID: 3771</w:t>
      </w:r>
    </w:p>
    <w:p>
      <w:r>
        <w:t>Order ID: da64c9b6d8c56cd4f3cae2cb2bf29921c906cb19e1796febe4faad98b96edbcc</w:t>
      </w:r>
    </w:p>
    <w:p>
      <w:r>
        <w:t>Order Name: Chest X-ray</w:t>
      </w:r>
    </w:p>
    <w:p>
      <w:r>
        <w:t>Result Item Code: CHE-NOV</w:t>
      </w:r>
    </w:p>
    <w:p>
      <w:r>
        <w:t>Performed Date Time: 13/5/2017 21:17</w:t>
      </w:r>
    </w:p>
    <w:p>
      <w:r>
        <w:t>Line Num: 1</w:t>
      </w:r>
    </w:p>
    <w:p>
      <w:r>
        <w:t>Text:       HISTORY sob REPORT AP SITTING Comparison radiograph 23 July 2014 (KTPH). Cardiomegaly is evident despite accounting for supine projection. The thoracic aorta  is unfolded with atherosclerotic calcification. Stable volume loss of the right lung, with ipsilateral tracheal deviation. Stable  bilateral fibrocalcific scarring is noted, worse in the right lung.  Patchy airspace opacification in the left mid and lower zone with obscuration of  the left hemidiaphragm likelyrepresents superimposed infection. Blunting of the  costophrenic angles bilaterally may represent small pleural effusions or pleural  thickening.   May need further action Finalised by: &lt;DOCTOR&gt;</w:t>
      </w:r>
    </w:p>
    <w:p>
      <w:r>
        <w:t>Accession Number: b4d1d3cb222e7fec2c9c16fb968ff3ab41bccbd3498a3eee1bb212b3413f4dc0</w:t>
      </w:r>
    </w:p>
    <w:p>
      <w:r>
        <w:t>Updated Date Time: 14/5/2017 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