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20/11/2019 17:05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fdd0b27db0605b6f3a2f941f5566a8d61fa2c06d8de8a056f8f0760eb03dc74c</w:t>
      </w:r>
    </w:p>
    <w:p>
      <w:r>
        <w:t>Order Name: Chest X-ray</w:t>
      </w:r>
    </w:p>
    <w:p>
      <w:r>
        <w:t>Result Item Code: CHE-NOV</w:t>
      </w:r>
    </w:p>
    <w:p>
      <w:r>
        <w:t>Performed Date Time: 20/11/2019 17:05</w:t>
      </w:r>
    </w:p>
    <w:p>
      <w:r>
        <w:t>Line Num: 1</w:t>
      </w:r>
    </w:p>
    <w:p>
      <w:r>
        <w:t>Text: Compared with the last examination there is still LLL consolidation.  No new adverse  development is detected.   Report Indicator: May need further action Finalised by: &lt;DOCTOR&gt;</w:t>
      </w:r>
    </w:p>
    <w:p>
      <w:r>
        <w:t>Accession Number: 3c0e33224c7c77fb2c394050b8fca2478936a9d7d2b0d26d6e0c50d4a888c923</w:t>
      </w:r>
    </w:p>
    <w:p>
      <w:r>
        <w:t>Updated Date Time: 21/11/2019 18:32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