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24/11/2019 5:47</w:t>
      </w:r>
    </w:p>
    <w:p>
      <w:pPr>
        <w:pStyle w:val="Heading2"/>
      </w:pPr>
      <w:r>
        <w:t>Raw Radiology Report Extracted</w:t>
      </w:r>
    </w:p>
    <w:p>
      <w:r>
        <w:t>Visit Number: e7795ec4284cb2cbf3f9fb3037652bc28128d2a4309a85f4917b77c8311c5ddb</w:t>
      </w:r>
    </w:p>
    <w:p>
      <w:r>
        <w:t>Masked_PatientID: 378</w:t>
      </w:r>
    </w:p>
    <w:p>
      <w:r>
        <w:t>Order ID: 7aa088cafb3fc8e01a657af40dff56ee7d08003b41f3a495a353dc6627f654de</w:t>
      </w:r>
    </w:p>
    <w:p>
      <w:r>
        <w:t>Order Name: Chest X-ray, Erect</w:t>
      </w:r>
    </w:p>
    <w:p>
      <w:r>
        <w:t>Result Item Code: CHE-ER</w:t>
      </w:r>
    </w:p>
    <w:p>
      <w:r>
        <w:t>Performed Date Time: 24/11/2019 5:47</w:t>
      </w:r>
    </w:p>
    <w:p>
      <w:r>
        <w:t>Line Num: 1</w:t>
      </w:r>
    </w:p>
    <w:p>
      <w:r>
        <w:t>Text: Overall there is no new adverse development since the last examination.  Mild LLL  consolidation is evident.  The bilateral chest tubes, right IJ catheter, NG tube  and left rib fractures are unchanged.   Report Indicator: May need further action Finalised by: &lt;DOCTOR&gt;</w:t>
      </w:r>
    </w:p>
    <w:p>
      <w:r>
        <w:t>Accession Number: 24ab1d626744c40fcd799d155eb7fbf40081977b532ab18935ad0d0e822fafc9</w:t>
      </w:r>
    </w:p>
    <w:p>
      <w:r>
        <w:t>Updated Date Time: 25/11/2019 18:58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