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20/11/2015 14:11</w:t>
      </w:r>
    </w:p>
    <w:p>
      <w:pPr>
        <w:pStyle w:val="Heading2"/>
      </w:pPr>
      <w:r>
        <w:t>Raw Radiology Report Extracted</w:t>
      </w:r>
    </w:p>
    <w:p>
      <w:r>
        <w:t>Visit Number: e86be40f5308b2217b84ff451948927df2969f999c453a091bff5863e3b50090</w:t>
      </w:r>
    </w:p>
    <w:p>
      <w:r>
        <w:t>Masked_PatientID: 3813</w:t>
      </w:r>
    </w:p>
    <w:p>
      <w:r>
        <w:t>Order ID: 1617da4f94d68ff0aaa6bf263568cf2efee6f9654eed05983869f4dd97a7f99e</w:t>
      </w:r>
    </w:p>
    <w:p>
      <w:r>
        <w:t>Order Name: Chest X-ray</w:t>
      </w:r>
    </w:p>
    <w:p>
      <w:r>
        <w:t>Result Item Code: CHE-NOV</w:t>
      </w:r>
    </w:p>
    <w:p>
      <w:r>
        <w:t>Performed Date Time: 20/11/2015 14:11</w:t>
      </w:r>
    </w:p>
    <w:p>
      <w:r>
        <w:t>Line Num: 1</w:t>
      </w:r>
    </w:p>
    <w:p>
      <w:r>
        <w:t>Text:       HISTORY base of skull infection REPORT  The lung bases are difficult to assess due to suboptimal inspiratory effort.  Heart  size is normal.  No gross consolidation is seen in the lungs.  Increased bronchovascular  markings in theright lower zone could be partly due to the expiratory phase of the  examination.   Known / Minor  Finalised by: &lt;DOCTOR&gt;</w:t>
      </w:r>
    </w:p>
    <w:p>
      <w:r>
        <w:t>Accession Number: 2f82fc45a2a5fed242025547a4f6a6f6ca24078aad876c1f951883302ec19646</w:t>
      </w:r>
    </w:p>
    <w:p>
      <w:r>
        <w:t>Updated Date Time: 23/11/2015 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