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3859, Performed Date: 18/4/2019 6:05</w:t>
      </w:r>
    </w:p>
    <w:p>
      <w:pPr>
        <w:pStyle w:val="Heading2"/>
      </w:pPr>
      <w:r>
        <w:t>Raw Radiology Report Extracted</w:t>
      </w:r>
    </w:p>
    <w:p>
      <w:r>
        <w:t>Visit Number: bcfd17dcbe44483f79594a1f8abb71c79b29bc57227646b9cba552a0d4b770b1</w:t>
      </w:r>
    </w:p>
    <w:p>
      <w:r>
        <w:t>Masked_PatientID: 3859</w:t>
      </w:r>
    </w:p>
    <w:p>
      <w:r>
        <w:t>Order ID: d9484c7535c135424083e135b30a989b32d977216eba59a90984af85c2e76d39</w:t>
      </w:r>
    </w:p>
    <w:p>
      <w:r>
        <w:t>Order Name: Chest X-ray</w:t>
      </w:r>
    </w:p>
    <w:p>
      <w:r>
        <w:t>Result Item Code: CHE-NOV</w:t>
      </w:r>
    </w:p>
    <w:p>
      <w:r>
        <w:t>Performed Date Time: 18/4/2019 6:05</w:t>
      </w:r>
    </w:p>
    <w:p>
      <w:r>
        <w:t>Line Num: 1</w:t>
      </w:r>
    </w:p>
    <w:p>
      <w:r>
        <w:t>Text: HISTORY  pneumonia on ECMO REPORT Position of the lines and tubes remain grossly unchanged. No interval change to the  extensive bilateral pulmonary shadowing and bilateral pleural effusions. Report Indicator: Known \ Minor Finalised by: &lt;DOCTOR&gt;</w:t>
      </w:r>
    </w:p>
    <w:p>
      <w:r>
        <w:t>Accession Number: 0812c1771dec16f5a7f7de1ef3c705d7b37023cfad115c3a99ff46464efba3a5</w:t>
      </w:r>
    </w:p>
    <w:p>
      <w:r>
        <w:t>Updated Date Time: 19/4/2019 9:48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