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20/5/2019 9:34</w:t>
      </w:r>
    </w:p>
    <w:p>
      <w:pPr>
        <w:pStyle w:val="Heading2"/>
      </w:pPr>
      <w:r>
        <w:t>Raw Radiology Report Extracted</w:t>
      </w:r>
    </w:p>
    <w:p>
      <w:r>
        <w:t>Visit Number: bcfd17dcbe44483f79594a1f8abb71c79b29bc57227646b9cba552a0d4b770b1</w:t>
      </w:r>
    </w:p>
    <w:p>
      <w:r>
        <w:t>Masked_PatientID: 3859</w:t>
      </w:r>
    </w:p>
    <w:p>
      <w:r>
        <w:t>Order ID: d310f5efc33a2a319320e5af6f12c70dd96b26088bdac73e1c012deb567ee4bb</w:t>
      </w:r>
    </w:p>
    <w:p>
      <w:r>
        <w:t>Order Name: CT Chest, High Resolution</w:t>
      </w:r>
    </w:p>
    <w:p>
      <w:r>
        <w:t>Result Item Code: CTCHEHR</w:t>
      </w:r>
    </w:p>
    <w:p>
      <w:r>
        <w:t>Performed Date Time: 20/5/2019 9:34</w:t>
      </w:r>
    </w:p>
    <w:p>
      <w:r>
        <w:t>Line Num: 1</w:t>
      </w:r>
    </w:p>
    <w:p>
      <w:r>
        <w:t>Text: HISTORY  possible polymyositis with ILD, ANA and Anti-EJ Positive interval 1month CT scan TECHNIQUE Scans acquired as per department protocol. Intravenous contrast: nil  FINDINGS Comparison is made previous CT of April 2019. There is significant resolution of most of the previously noted extensive ground-glass  opacification of both lungs. Postinflammatory opacities with architectural distortion worse in the bilateral upper  lobes are noted, associated traction bronchiectasis especially the left. Mild bronchiectasis is noted in the middle lobe and  inferior lingular segment. Minor postinflammatory scarring in the apical left lower lobe. In the rest of the lower lobes bilaterally there are residual ill-defined ground-glass  and centrilobular opacities likely due to residual inflammatory changes. Some degree  of traction bronchiectasis is also seen in the peripheral basal segments. Small volume mediastinal lymph nodes are probably reactive. Trace pericardialeffusion.  No pleural effusion. Tip of the a nasogastric tube is projected within the stomach. The bone settings show no overt destructive lesions. CONCLUSION Dominant findings are -postinflammatory scarring and traction bronchiectasis more in the upper lobes. - residual inflammatory changes in the lower lobes including those around or within  small airways Report Indicator: May need further action Finalised by: &lt;DOCTOR&gt;</w:t>
      </w:r>
    </w:p>
    <w:p>
      <w:r>
        <w:t>Accession Number: 25e726e7395257f8ff3ae96811d22ec7f2867f80aeb07b82049e79de9a28f029</w:t>
      </w:r>
    </w:p>
    <w:p>
      <w:r>
        <w:t>Updated Date Time: 21/5/2019 10:11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