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3887, Performed Date: 03/1/2018 20:01</w:t>
      </w:r>
    </w:p>
    <w:p>
      <w:pPr>
        <w:pStyle w:val="Heading2"/>
      </w:pPr>
      <w:r>
        <w:t>Raw Radiology Report Extracted</w:t>
      </w:r>
    </w:p>
    <w:p>
      <w:r>
        <w:t>Visit Number: 84c13339896092fd4b9904d0189da990bee5d464e011a653e92e7d8c2fe2a034</w:t>
      </w:r>
    </w:p>
    <w:p>
      <w:r>
        <w:t>Masked_PatientID: 3887</w:t>
      </w:r>
    </w:p>
    <w:p>
      <w:r>
        <w:t>Order ID: d95863fc850c07aa3472d5194d9deef5c4e92c2a1ff6b15917326ac0c279e8c9</w:t>
      </w:r>
    </w:p>
    <w:p>
      <w:r>
        <w:t>Order Name: Chest X-ray</w:t>
      </w:r>
    </w:p>
    <w:p>
      <w:r>
        <w:t>Result Item Code: CHE-NOV</w:t>
      </w:r>
    </w:p>
    <w:p>
      <w:r>
        <w:t>Performed Date Time: 03/1/2018 20:01</w:t>
      </w:r>
    </w:p>
    <w:p>
      <w:r>
        <w:t>Line Num: 1</w:t>
      </w:r>
    </w:p>
    <w:p>
      <w:r>
        <w:t>Text:       HISTORY ?chest infection REPORT The prior chest radiograph of 1 October 2015 was reviewed. The heart size cannot be accurately assessed on this AP projection. There is airspace opacification in the bilateral midzones again in the right lower  zone paracardiac region, suspicious for infective change. Minor atelectasis is noted in both lower zones. Blunting of bilateral costophrenic angles is suggestive of small pleural effusions.   Further action or early intervention required Finalised by: &lt;DOCTOR&gt;</w:t>
      </w:r>
    </w:p>
    <w:p>
      <w:r>
        <w:t>Accession Number: e04fcefd60fd2dd8efe69f541945906e06921f719201beb7b3ffab5283649f93</w:t>
      </w:r>
    </w:p>
    <w:p>
      <w:r>
        <w:t>Updated Date Time: 04/1/2018 11:44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