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23/12/2020 14:19</w:t>
      </w:r>
    </w:p>
    <w:p>
      <w:pPr>
        <w:pStyle w:val="Heading2"/>
      </w:pPr>
      <w:r>
        <w:t>Raw Radiology Report Extracted</w:t>
      </w:r>
    </w:p>
    <w:p>
      <w:r>
        <w:t>Visit Number: adfa5d7fdab057fe1b9deefb038d4e09bfcc098bf55beaa1c64a0c472b1beb05</w:t>
      </w:r>
    </w:p>
    <w:p>
      <w:r>
        <w:t>Masked_PatientID: 4046</w:t>
      </w:r>
    </w:p>
    <w:p>
      <w:r>
        <w:t>Order ID: 428bade097529dfe601f4c46f2b6c586170c087c4125478556d10ad6b3dd1610</w:t>
      </w:r>
    </w:p>
    <w:p>
      <w:r>
        <w:t>Order Name: Chest X-ray</w:t>
      </w:r>
    </w:p>
    <w:p>
      <w:r>
        <w:t>Result Item Code: CHE-NOV</w:t>
      </w:r>
    </w:p>
    <w:p>
      <w:r>
        <w:t>Performed Date Time: 23/12/2020 14:19</w:t>
      </w:r>
    </w:p>
    <w:p>
      <w:r>
        <w:t>Line Num: 1</w:t>
      </w:r>
    </w:p>
    <w:p>
      <w:r>
        <w:t>Text: HISTORY  haemoptuysis REPORT Comparison radiograph 29/07/2019. Stable cardiomegaly with unfolded aortic arch demonstrating atherosclerotic mural  calcification. There is scarring seen in the upper zones bilaterally with left apical pleural thickening.  New areas of scarring noted in the left midzone. Areas of atelectasis are noted in  the lower zones bilaterally. Known diaphragmatic hernia with the stomach noted in the right paramidline aspect  of the chest. Report Indicator: May need further action Finalised by: &lt;DOCTOR&gt;</w:t>
      </w:r>
    </w:p>
    <w:p>
      <w:r>
        <w:t>Accession Number: 7e2c26416dc5c4d1485a2c407b277d5854f69af5f411af876fdf7a79bfd61f8a</w:t>
      </w:r>
    </w:p>
    <w:p>
      <w:r>
        <w:t>Updated Date Time: 23/12/2020 19:24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