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29/10/2018 5:26</w:t>
      </w:r>
    </w:p>
    <w:p>
      <w:pPr>
        <w:pStyle w:val="Heading2"/>
      </w:pPr>
      <w:r>
        <w:t>Raw Radiology Report Extracted</w:t>
      </w:r>
    </w:p>
    <w:p>
      <w:r>
        <w:t>Visit Number: c6451b63df4f2245ca835eab965f5a76b5bdb4debae60474329dbab878107dd8</w:t>
      </w:r>
    </w:p>
    <w:p>
      <w:r>
        <w:t>Masked_PatientID: 4295</w:t>
      </w:r>
    </w:p>
    <w:p>
      <w:r>
        <w:t>Order ID: 66107ed71dd0b8dca8f636827a45ee1bb2419d2ac398b1335a3ba3b0b8877130</w:t>
      </w:r>
    </w:p>
    <w:p>
      <w:r>
        <w:t>Order Name: Chest X-ray</w:t>
      </w:r>
    </w:p>
    <w:p>
      <w:r>
        <w:t>Result Item Code: CHE-NOV</w:t>
      </w:r>
    </w:p>
    <w:p>
      <w:r>
        <w:t>Performed Date Time: 29/10/2018 5:26</w:t>
      </w:r>
    </w:p>
    <w:p>
      <w:r>
        <w:t>Line Num: 1</w:t>
      </w:r>
    </w:p>
    <w:p>
      <w:r>
        <w:t>Text:       HISTORY hcap; trache, MVR REPORT  Supine film. Comparison made to the previous chest radiograph dated 26 October 2018. Tracheostomy in situ. Midline sternotomy wires and a prosthetic mitral valve are  again noted. The nasogastric tube crosses the diaphragm with its tip beyond the inferior  border of this film. There is persistent consolidation and effusion at the left lung base, fairly similar  to before.  There is also persistent patchy air space opacification scattered throughout  both lungs, in keeping with underlying pulmonary oedema.   May need further action Reported by: &lt;DOCTOR&gt;</w:t>
      </w:r>
    </w:p>
    <w:p>
      <w:r>
        <w:t>Accession Number: 27ba12bc33bbea23671274a12f1bd90c78f88056733460ff02c9839be949e4a7</w:t>
      </w:r>
    </w:p>
    <w:p>
      <w:r>
        <w:t>Updated Date Time: 29/10/2018 17:09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