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4380, Performed Date: 08/8/2016 21:22</w:t>
      </w:r>
    </w:p>
    <w:p>
      <w:pPr>
        <w:pStyle w:val="Heading2"/>
      </w:pPr>
      <w:r>
        <w:t>Raw Radiology Report Extracted</w:t>
      </w:r>
    </w:p>
    <w:p>
      <w:r>
        <w:t>Visit Number: 2f9294e3bf048b48afd310e89d7e4707a8808ca4c398c8191279022842b99fa0</w:t>
      </w:r>
    </w:p>
    <w:p>
      <w:r>
        <w:t>Masked_PatientID: 4380</w:t>
      </w:r>
    </w:p>
    <w:p>
      <w:r>
        <w:t>Order ID: 9d7a9de463b079cd8aa835470c0fba4bc99988309d6e6703c449c293e1eb6040</w:t>
      </w:r>
    </w:p>
    <w:p>
      <w:r>
        <w:t>Order Name: Chest X-ray</w:t>
      </w:r>
    </w:p>
    <w:p>
      <w:r>
        <w:t>Result Item Code: CHE-NOV</w:t>
      </w:r>
    </w:p>
    <w:p>
      <w:r>
        <w:t>Performed Date Time: 08/8/2016 21:22</w:t>
      </w:r>
    </w:p>
    <w:p>
      <w:r>
        <w:t>Line Num: 1</w:t>
      </w:r>
    </w:p>
    <w:p>
      <w:r>
        <w:t>Text:       HISTORY septic shock REPORT  Comparison chest radiograph dated 27 July 2016. Left-sided dual lumen central venous catheter is seen with its tip projected over  the superior vena cava. Vascular stent is seen projected over the right subclavian vein. Cardiomegaly is evident despite the projection.  The thoracic aorta is unfolded with  mural calcification. Patchy airspace opacification is seen over bilateral mid to lower zones.  There is  interval development of bilateral small pleural effusions, left worse than right.   Findings may represent pulmonary venous congestion, however underlying infective  change cannot be excluded. Stable biapical pleural thickening.     May need further action Finalisedby: &lt;DOCTOR&gt;</w:t>
      </w:r>
    </w:p>
    <w:p>
      <w:r>
        <w:t>Accession Number: 002b2cca58598badcbdb1721f19b19b3eb3cb6d0f0a9e8836972664f4feb7a9a</w:t>
      </w:r>
    </w:p>
    <w:p>
      <w:r>
        <w:t>Updated Date Time: 12/8/2016 16:45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