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4401, Performed Date: 24/3/2020 17:17</w:t>
      </w:r>
    </w:p>
    <w:p>
      <w:pPr>
        <w:pStyle w:val="Heading2"/>
      </w:pPr>
      <w:r>
        <w:t>Raw Radiology Report Extracted</w:t>
      </w:r>
    </w:p>
    <w:p>
      <w:r>
        <w:t>Visit Number: 7f409e91f15713726079c6a6f1386a8dd96b2f3bd2908f5ec3bb86853ff2607c</w:t>
      </w:r>
    </w:p>
    <w:p>
      <w:r>
        <w:t>Masked_PatientID: 4401</w:t>
      </w:r>
    </w:p>
    <w:p>
      <w:r>
        <w:t>Order ID: bb8f5920f4a8125e315128bf2013bdfd94c3a7e1b995f7e362fd422d01222513</w:t>
      </w:r>
    </w:p>
    <w:p>
      <w:r>
        <w:t>Order Name: Chest X-ray, Erect</w:t>
      </w:r>
    </w:p>
    <w:p>
      <w:r>
        <w:t>Result Item Code: CHE-ER</w:t>
      </w:r>
    </w:p>
    <w:p>
      <w:r>
        <w:t>Performed Date Time: 24/3/2020 17:17</w:t>
      </w:r>
    </w:p>
    <w:p>
      <w:r>
        <w:t>Line Num: 1</w:t>
      </w:r>
    </w:p>
    <w:p>
      <w:r>
        <w:t>Text: HISTORY  septic shock b/g MRSA bacteraemia likely 2' line sepsis REPORT Previous chest radiograph performed on same day at 09:34 a.m. is reviewed. Interval removal of the right central venous catheter noted. No pneumothorax is seen. Obscuration of the left hemidiaphragm suggests a new retrocardiac consolidation,  which may be secondary to an infective aetiology in the appropriate clinical context. Bilateral perihilar air space opacification appears grossly stable in extent. There is asmall left pleural effusion. The heart is enlarged. Report Indicator: Further action or early intervention required Reported by: &lt;DOCTOR&gt;</w:t>
      </w:r>
    </w:p>
    <w:p>
      <w:r>
        <w:t>Accession Number: 046a75e0dc639d4ec4f121fe6af687ced41625398cb3c861186945c5c92ac402</w:t>
      </w:r>
    </w:p>
    <w:p>
      <w:r>
        <w:t>Updated Date Time: 25/3/2020 11:57</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