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24/3/2020 9:56</w:t>
      </w:r>
    </w:p>
    <w:p>
      <w:pPr>
        <w:pStyle w:val="Heading2"/>
      </w:pPr>
      <w:r>
        <w:t>Raw Radiology Report Extracted</w:t>
      </w:r>
    </w:p>
    <w:p>
      <w:r>
        <w:t>Visit Number: 7f409e91f15713726079c6a6f1386a8dd96b2f3bd2908f5ec3bb86853ff2607c</w:t>
      </w:r>
    </w:p>
    <w:p>
      <w:r>
        <w:t>Masked_PatientID: 4401</w:t>
      </w:r>
    </w:p>
    <w:p>
      <w:r>
        <w:t>Order ID: ff74ae79feaeac587c49598d9994b3581db358fcea1e72f6e0647b44958cf254</w:t>
      </w:r>
    </w:p>
    <w:p>
      <w:r>
        <w:t>Order Name: Chest X-ray, Erect</w:t>
      </w:r>
    </w:p>
    <w:p>
      <w:r>
        <w:t>Result Item Code: CHE-ER</w:t>
      </w:r>
    </w:p>
    <w:p>
      <w:r>
        <w:t>Performed Date Time: 24/3/2020 9:56</w:t>
      </w:r>
    </w:p>
    <w:p>
      <w:r>
        <w:t>Line Num: 1</w:t>
      </w:r>
    </w:p>
    <w:p>
      <w:r>
        <w:t>Text: HISTORY  for review of fluid status / exclude HAP  - ESRF newly initiated on dialysis via temp line, spiked fever overnight with GPC  bacteraemia REPORT Previous study of 21 March 2020 reviewed. Cardiac size is enlarged. Stable position of central venous catheter. Interval improvement  of bilateral perihilar airspace opacification. Costophrenic angles are clear. Report Indicator: Known / Minor Finalised by: &lt;DOCTOR&gt;</w:t>
      </w:r>
    </w:p>
    <w:p>
      <w:r>
        <w:t>Accession Number: d372a215ef134337d6dd00c190a84795c8496a5768c98398da0e483a3c6ad422</w:t>
      </w:r>
    </w:p>
    <w:p>
      <w:r>
        <w:t>Updated Date Time: 24/3/2020 15:58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