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28/12/2018 17:28</w:t>
      </w:r>
    </w:p>
    <w:p>
      <w:pPr>
        <w:pStyle w:val="Heading2"/>
      </w:pPr>
      <w:r>
        <w:t>Raw Radiology Report Extracted</w:t>
      </w:r>
    </w:p>
    <w:p>
      <w:r>
        <w:t>Visit Number: c5e2e3e5a083a5a9877ede2cb9d42832c7ff5d6e4abf41207cf39e37fb82ac05</w:t>
      </w:r>
    </w:p>
    <w:p>
      <w:r>
        <w:t>Masked_PatientID: 4521</w:t>
      </w:r>
    </w:p>
    <w:p>
      <w:r>
        <w:t>Order ID: dc270213a59b33d4f7e6acbf1f8f8f3beaa69cdc3524130b55530ba1d47bb4cc</w:t>
      </w:r>
    </w:p>
    <w:p>
      <w:r>
        <w:t>Order Name: Chest X-ray, Erect</w:t>
      </w:r>
    </w:p>
    <w:p>
      <w:r>
        <w:t>Result Item Code: CHE-ER</w:t>
      </w:r>
    </w:p>
    <w:p>
      <w:r>
        <w:t>Performed Date Time: 28/12/2018 17:28</w:t>
      </w:r>
    </w:p>
    <w:p>
      <w:r>
        <w:t>Line Num: 1</w:t>
      </w:r>
    </w:p>
    <w:p>
      <w:r>
        <w:t>Text:       HISTORY Hypoxia and hypotension ?HAP REPORT Comparison was made with the prior study dated 15 Dec 2018. Suboptimal inspiratory effort.  Prominence of the pulmonary vasculature again seen. Patchy airspace opacities noted  in bilateral lower zones, albeit slightly improved from before. Small bilateral pleural  effusions are again noted. Findings are again suggestive of fluid overload, though  superimposed infection is not excluded.  The heart size cannot be accurately assessed in this projection.    May need further action Finalised by: &lt;DOCTOR&gt;</w:t>
      </w:r>
    </w:p>
    <w:p>
      <w:r>
        <w:t>Accession Number: 86bd29fa529508cd3e6cccbd081ee44ca4d405492e8c6c3b343ef1ce83e06466</w:t>
      </w:r>
    </w:p>
    <w:p>
      <w:r>
        <w:t>Updated Date Time: 29/12/2018 12:00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