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09/3/2017 4:01</w:t>
      </w:r>
    </w:p>
    <w:p>
      <w:pPr>
        <w:pStyle w:val="Heading2"/>
      </w:pPr>
      <w:r>
        <w:t>Raw Radiology Report Extracted</w:t>
      </w:r>
    </w:p>
    <w:p>
      <w:r>
        <w:t>Visit Number: 4df2921adc17d0703e1004bbc801194f4a6d15ae565fe3b8506c2c1fe3b87c0e</w:t>
      </w:r>
    </w:p>
    <w:p>
      <w:r>
        <w:t>Masked_PatientID: 456</w:t>
      </w:r>
    </w:p>
    <w:p>
      <w:r>
        <w:t>Order ID: 2d5c51e1ca963ff2ab22d0183a017d1ac0d894f2e63b4ef6f4caf8dfbe87c2a4</w:t>
      </w:r>
    </w:p>
    <w:p>
      <w:r>
        <w:t>Order Name: Chest X-ray, Erect</w:t>
      </w:r>
    </w:p>
    <w:p>
      <w:r>
        <w:t>Result Item Code: CHE-ER</w:t>
      </w:r>
    </w:p>
    <w:p>
      <w:r>
        <w:t>Performed Date Time: 09/3/2017 4:01</w:t>
      </w:r>
    </w:p>
    <w:p>
      <w:r>
        <w:t>Line Num: 1</w:t>
      </w:r>
    </w:p>
    <w:p>
      <w:r>
        <w:t>Text:       HISTORY abdo pain REPORT Linked report for chest and abdominal radiographs CHEST The chest radiograph of 2 December 2016 and CT scan of 3 December 2016 were reviewed. The heart appears enlarged despite the AP projection. A single lead AICD is in situ.   The left chest drain has been removed. There is interval reduction in the size of the left pleural effusion. The air space  opacities in both lungs have improved. The mass lesion in the left lung apex seen  on the prior CT is not evident on this radiograph. Scarring is noted in the upper zones bilaterally with calcific granulomas detected  in the right upper and mid zones. Emphysematous changes are seen in both upper zones. There is no subdiaphragmaticfree gas. Dilated small bowel loops are seen in the  right upper abdomen. ABDOMEN Dilated small bowel loops are present, compatible with obstruction.  There is no  overt pneumoperitoneum. Surgical sutures are projected over the central pelvis. The renal outlines are obscured.  No abnormal calcification is present. Degenerative changes are seen in the spine and hip joints.   Further action or early intervention required Finalised by: &lt;DOCTOR&gt;</w:t>
      </w:r>
    </w:p>
    <w:p>
      <w:r>
        <w:t>Accession Number: b1596e6a372310ee952a010f07a212d7336ab8c922c5c0b0fe7ca92ab5a9cdac</w:t>
      </w:r>
    </w:p>
    <w:p>
      <w:r>
        <w:t>Updated Date Time: 09/3/2017 14:38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