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4847, Performed Date: 11/9/2018 5:41</w:t>
      </w:r>
    </w:p>
    <w:p>
      <w:pPr>
        <w:pStyle w:val="Heading2"/>
      </w:pPr>
      <w:r>
        <w:t>Raw Radiology Report Extracted</w:t>
      </w:r>
    </w:p>
    <w:p>
      <w:r>
        <w:t>Visit Number: 7e2709d65094f6681e02cae2aa4f23128f6d326af3ba19298f9925350a8ce7b0</w:t>
      </w:r>
    </w:p>
    <w:p>
      <w:r>
        <w:t>Masked_PatientID: 4847</w:t>
      </w:r>
    </w:p>
    <w:p>
      <w:r>
        <w:t>Order ID: db73c20b5047e962013ab930fa82351b847588b4adb536ec31074a384a88215c</w:t>
      </w:r>
    </w:p>
    <w:p>
      <w:r>
        <w:t>Order Name: Chest X-ray</w:t>
      </w:r>
    </w:p>
    <w:p>
      <w:r>
        <w:t>Result Item Code: CHE-NOV</w:t>
      </w:r>
    </w:p>
    <w:p>
      <w:r>
        <w:t>Performed Date Time: 11/9/2018 5:41</w:t>
      </w:r>
    </w:p>
    <w:p>
      <w:r>
        <w:t>Line Num: 1</w:t>
      </w:r>
    </w:p>
    <w:p>
      <w:r>
        <w:t>Text:       HISTORY chest pain REPORT CHEST RADIOGRAPH, PA VIEW Comparison is made with the previous chest radiograph dated 24 Oct 2010.  The heart size is within normal limits.  A new vague ill-defined opacity, which may be pleural-based, is projected over the  left lower zone. Clinical correlation for a chest infection and follow-up radiograph  after a course of treatment to document resolution may be considered.  Degenerative changes are seen in the visualised thoracic spine.    Further action or early intervention required Reported by: &lt;DOCTOR&gt;</w:t>
      </w:r>
    </w:p>
    <w:p>
      <w:r>
        <w:t>Accession Number: fd6ec2f8575b15ae4126046c59ea2158ea2c2723bba8a1ac44deb5faa7d40358</w:t>
      </w:r>
    </w:p>
    <w:p>
      <w:r>
        <w:t>Updated Date Time: 11/9/2018 17:12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