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5129, Performed Date: 18/2/2015 13:09</w:t>
      </w:r>
    </w:p>
    <w:p>
      <w:pPr>
        <w:pStyle w:val="Heading2"/>
      </w:pPr>
      <w:r>
        <w:t>Raw Radiology Report Extracted</w:t>
      </w:r>
    </w:p>
    <w:p>
      <w:r>
        <w:t>Visit Number: 0b5cd357239075c2381feef3d3af4881b4556677573f805967f89179a21de00a</w:t>
      </w:r>
    </w:p>
    <w:p>
      <w:r>
        <w:t>Masked_PatientID: 5129</w:t>
      </w:r>
    </w:p>
    <w:p>
      <w:r>
        <w:t>Order ID: 0363950160b5ebdb5f5475d24b77d4e19589886921825f739a4b9e8ac4d1f897</w:t>
      </w:r>
    </w:p>
    <w:p>
      <w:r>
        <w:t>Order Name: Chest X-ray</w:t>
      </w:r>
    </w:p>
    <w:p>
      <w:r>
        <w:t>Result Item Code: CHE-NOV</w:t>
      </w:r>
    </w:p>
    <w:p>
      <w:r>
        <w:t>Performed Date Time: 18/2/2015 13:09</w:t>
      </w:r>
    </w:p>
    <w:p>
      <w:r>
        <w:t>Line Num: 1</w:t>
      </w:r>
    </w:p>
    <w:p>
      <w:r>
        <w:t>Text:       HISTORY STEMI, intracranial bleed. hypoxia. tro pneumonia/aspiration REPORT  A nasogastric tube is noted in situ.  Heart is enlarged.  There is airspace shadowing  in the lungs bilaterally.   May need further action Finalised by: &lt;DOCTOR&gt;</w:t>
      </w:r>
    </w:p>
    <w:p>
      <w:r>
        <w:t>Accession Number: 9417ee900cec75b38136741c1075e77fec7adf4fb838a286074d49905bba1164</w:t>
      </w:r>
    </w:p>
    <w:p>
      <w:r>
        <w:t>Updated Date Time: 18/2/2015 15:39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