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23/6/2015 16:50</w:t>
      </w:r>
    </w:p>
    <w:p>
      <w:pPr>
        <w:pStyle w:val="Heading2"/>
      </w:pPr>
      <w:r>
        <w:t>Raw Radiology Report Extracted</w:t>
      </w:r>
    </w:p>
    <w:p>
      <w:r>
        <w:t>Visit Number: 609377cbf2f2a3c10ff25d3fcb2f9788177cb6c3d43d282127e4d687b4a16497</w:t>
      </w:r>
    </w:p>
    <w:p>
      <w:r>
        <w:t>Masked_PatientID: 5241</w:t>
      </w:r>
    </w:p>
    <w:p>
      <w:r>
        <w:t>Order ID: f0e9323fd47acdc03be070dda0492249a72d2bf3e03bc7fb17f6fb1bba81e73d</w:t>
      </w:r>
    </w:p>
    <w:p>
      <w:r>
        <w:t>Order Name: Chest X-ray</w:t>
      </w:r>
    </w:p>
    <w:p>
      <w:r>
        <w:t>Result Item Code: CHE-NOV</w:t>
      </w:r>
    </w:p>
    <w:p>
      <w:r>
        <w:t>Performed Date Time: 23/6/2015 16:50</w:t>
      </w:r>
    </w:p>
    <w:p>
      <w:r>
        <w:t>Line Num: 1</w:t>
      </w:r>
    </w:p>
    <w:p>
      <w:r>
        <w:t>Text:       HISTORY assess interval change of fluid overload NSTEMI REPORT  Comparison radiograph 22/06/2015. Cardiac size cannot be accurately assessed in this projection. Negligible change noted in the perihilar infiltrates as well as bilateral pleural  effusions compatible with cardiac decompensation.   May need further action Finalised by: &lt;DOCTOR&gt;</w:t>
      </w:r>
    </w:p>
    <w:p>
      <w:r>
        <w:t>Accession Number: 5057ce5c7d0d38fc5d55f28c5f3aa4093c45eff3693d368470b7c46797306b1e</w:t>
      </w:r>
    </w:p>
    <w:p>
      <w:r>
        <w:t>Updated Date Time: 24/6/2015 17:49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